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8B160" w14:textId="2706E418" w:rsidR="00A9147D" w:rsidRDefault="00000000">
      <w:pPr>
        <w:pStyle w:val="TdocHeader2"/>
        <w:tabs>
          <w:tab w:val="clear" w:pos="9072"/>
          <w:tab w:val="right" w:pos="9540"/>
        </w:tabs>
        <w:spacing w:after="0"/>
        <w:rPr>
          <w:rFonts w:eastAsiaTheme="minorEastAsia" w:cs="Arial"/>
          <w:bCs/>
          <w:sz w:val="24"/>
          <w:szCs w:val="22"/>
          <w:lang w:eastAsia="zh-CN"/>
        </w:rPr>
      </w:pPr>
      <w:r>
        <w:rPr>
          <w:rFonts w:eastAsiaTheme="minorEastAsia" w:cs="Arial"/>
          <w:bCs/>
          <w:sz w:val="24"/>
          <w:szCs w:val="22"/>
          <w:lang w:eastAsia="zh-CN"/>
        </w:rPr>
        <w:t>3GPP TSG RAN WG1 #114bis</w:t>
      </w:r>
      <w:r>
        <w:rPr>
          <w:rFonts w:eastAsiaTheme="minorEastAsia" w:cs="Arial"/>
          <w:bCs/>
          <w:sz w:val="24"/>
          <w:szCs w:val="22"/>
          <w:lang w:eastAsia="zh-CN"/>
        </w:rPr>
        <w:tab/>
      </w:r>
      <w:r w:rsidR="00B9798E" w:rsidRPr="00B9798E">
        <w:rPr>
          <w:rFonts w:eastAsiaTheme="minorEastAsia" w:cs="Arial"/>
          <w:bCs/>
          <w:sz w:val="24"/>
          <w:szCs w:val="22"/>
          <w:lang w:eastAsia="zh-CN"/>
        </w:rPr>
        <w:t>R1-2310311</w:t>
      </w:r>
    </w:p>
    <w:p w14:paraId="7DE991CE" w14:textId="77777777" w:rsidR="00A9147D" w:rsidRDefault="00000000">
      <w:pPr>
        <w:pStyle w:val="TdocHeader2"/>
        <w:spacing w:after="0"/>
        <w:rPr>
          <w:rFonts w:eastAsia="MS Mincho" w:cs="Arial"/>
          <w:bCs/>
          <w:sz w:val="24"/>
          <w:szCs w:val="22"/>
          <w:lang w:eastAsia="ja-JP"/>
        </w:rPr>
      </w:pPr>
      <w:r>
        <w:rPr>
          <w:rFonts w:eastAsiaTheme="minorEastAsia" w:cs="Arial"/>
          <w:bCs/>
          <w:sz w:val="24"/>
          <w:szCs w:val="22"/>
          <w:lang w:eastAsia="zh-CN"/>
        </w:rPr>
        <w:t>Xiamen, China, October 9th – October 13th</w:t>
      </w:r>
      <w:r>
        <w:rPr>
          <w:rFonts w:eastAsiaTheme="minorEastAsia" w:cs="Arial" w:hint="eastAsia"/>
          <w:bCs/>
          <w:sz w:val="24"/>
          <w:szCs w:val="22"/>
          <w:lang w:eastAsia="zh-CN"/>
        </w:rPr>
        <w:t>，</w:t>
      </w:r>
      <w:r>
        <w:rPr>
          <w:rFonts w:eastAsiaTheme="minorEastAsia" w:cs="Arial" w:hint="eastAsia"/>
          <w:bCs/>
          <w:sz w:val="24"/>
          <w:szCs w:val="22"/>
          <w:lang w:eastAsia="zh-CN"/>
        </w:rPr>
        <w:t xml:space="preserve"> </w:t>
      </w:r>
      <w:r>
        <w:rPr>
          <w:rFonts w:eastAsiaTheme="minorEastAsia" w:cs="Arial"/>
          <w:bCs/>
          <w:sz w:val="24"/>
          <w:szCs w:val="22"/>
          <w:lang w:eastAsia="zh-CN"/>
        </w:rPr>
        <w:t>2023</w:t>
      </w:r>
    </w:p>
    <w:p w14:paraId="048B7530" w14:textId="77777777" w:rsidR="00A9147D" w:rsidRDefault="00A9147D">
      <w:pPr>
        <w:pStyle w:val="CRCoverPage"/>
        <w:spacing w:after="0"/>
        <w:rPr>
          <w:rFonts w:cs="Arial"/>
          <w:b/>
          <w:bCs/>
          <w:sz w:val="24"/>
          <w:lang w:val="en-US"/>
        </w:rPr>
      </w:pPr>
    </w:p>
    <w:p w14:paraId="751B74E5" w14:textId="77777777" w:rsidR="00A9147D" w:rsidRDefault="00000000">
      <w:pPr>
        <w:spacing w:after="0"/>
        <w:ind w:left="1716" w:hangingChars="780" w:hanging="171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b/>
          <w:sz w:val="22"/>
        </w:rPr>
        <w:tab/>
        <w:t>8</w:t>
      </w:r>
      <w:r>
        <w:rPr>
          <w:rFonts w:ascii="Arial" w:hAnsi="Arial" w:hint="eastAsia"/>
          <w:b/>
          <w:sz w:val="22"/>
        </w:rPr>
        <w:t>.</w:t>
      </w:r>
      <w:r>
        <w:rPr>
          <w:rFonts w:ascii="Arial" w:hAnsi="Arial"/>
          <w:b/>
          <w:sz w:val="22"/>
        </w:rPr>
        <w:t>11</w:t>
      </w:r>
      <w:r>
        <w:rPr>
          <w:rFonts w:ascii="Arial" w:hAnsi="Arial" w:hint="eastAsia"/>
          <w:b/>
          <w:sz w:val="22"/>
        </w:rPr>
        <w:t>.</w:t>
      </w:r>
      <w:r>
        <w:rPr>
          <w:rFonts w:ascii="Arial" w:hAnsi="Arial"/>
          <w:b/>
          <w:sz w:val="22"/>
        </w:rPr>
        <w:t>2</w:t>
      </w:r>
    </w:p>
    <w:p w14:paraId="396079D1" w14:textId="77777777" w:rsidR="00A9147D" w:rsidRDefault="00000000">
      <w:pPr>
        <w:spacing w:after="0"/>
        <w:ind w:left="1716" w:hangingChars="780" w:hanging="171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Source:</w:t>
      </w:r>
      <w:r>
        <w:rPr>
          <w:rFonts w:ascii="Arial" w:hAnsi="Arial"/>
          <w:b/>
          <w:sz w:val="22"/>
        </w:rPr>
        <w:tab/>
        <w:t>Moderator (Fujitsu)</w:t>
      </w:r>
    </w:p>
    <w:p w14:paraId="452E0DE2" w14:textId="77777777" w:rsidR="00A9147D" w:rsidRDefault="00000000">
      <w:pPr>
        <w:spacing w:after="0"/>
        <w:ind w:left="1716" w:hangingChars="780" w:hanging="171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Title:</w:t>
      </w:r>
      <w:bookmarkStart w:id="0" w:name="Title"/>
      <w:bookmarkEnd w:id="0"/>
      <w:r>
        <w:rPr>
          <w:rFonts w:ascii="Arial" w:hAnsi="Arial"/>
          <w:b/>
          <w:sz w:val="22"/>
        </w:rPr>
        <w:tab/>
        <w:t>Summary#</w:t>
      </w:r>
      <w:r>
        <w:rPr>
          <w:rFonts w:ascii="Arial" w:hAnsi="Arial"/>
          <w:b/>
        </w:rPr>
        <w:t>1</w:t>
      </w:r>
      <w:r>
        <w:rPr>
          <w:rFonts w:ascii="Arial" w:hAnsi="Arial"/>
          <w:b/>
          <w:sz w:val="22"/>
        </w:rPr>
        <w:t xml:space="preserve"> on other aspects</w:t>
      </w:r>
    </w:p>
    <w:p w14:paraId="12D77178" w14:textId="77777777" w:rsidR="00A9147D" w:rsidRDefault="00000000">
      <w:pPr>
        <w:spacing w:after="0"/>
        <w:ind w:left="1716" w:hangingChars="780" w:hanging="171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b/>
          <w:sz w:val="22"/>
        </w:rPr>
        <w:tab/>
        <w:t>Discussion and Decision</w:t>
      </w:r>
    </w:p>
    <w:p w14:paraId="6E28BE51" w14:textId="77777777" w:rsidR="00A9147D" w:rsidRDefault="00A9147D">
      <w:pPr>
        <w:pBdr>
          <w:bottom w:val="single" w:sz="4" w:space="1" w:color="auto"/>
        </w:pBdr>
        <w:ind w:right="300"/>
        <w:jc w:val="right"/>
        <w:rPr>
          <w:lang w:val="en-US"/>
        </w:rPr>
      </w:pPr>
    </w:p>
    <w:p w14:paraId="2C1A0C55" w14:textId="77777777" w:rsidR="00A9147D" w:rsidRDefault="00000000">
      <w:pPr>
        <w:pStyle w:val="1"/>
        <w:numPr>
          <w:ilvl w:val="0"/>
          <w:numId w:val="2"/>
        </w:numPr>
        <w:tabs>
          <w:tab w:val="left" w:pos="360"/>
        </w:tabs>
        <w:spacing w:before="0" w:after="0"/>
        <w:ind w:left="0" w:firstLine="0"/>
      </w:pPr>
      <w:r>
        <w:t>Introduction</w:t>
      </w:r>
    </w:p>
    <w:p w14:paraId="7E57E9B9" w14:textId="77777777" w:rsidR="00A9147D" w:rsidRDefault="00000000">
      <w:pPr>
        <w:rPr>
          <w:rFonts w:eastAsia="Batang" w:cs="Times"/>
          <w:szCs w:val="20"/>
        </w:rPr>
      </w:pPr>
      <w:r>
        <w:rPr>
          <w:rFonts w:eastAsia="Batang" w:cs="Times"/>
          <w:szCs w:val="20"/>
        </w:rPr>
        <w:t>This contribution summarizes the proposals in the contributions submitted under AI 8.11.2 about other aspects including control plane signalling and procedures relevant to RAN1.</w:t>
      </w:r>
    </w:p>
    <w:p w14:paraId="0DAE5E0A" w14:textId="77777777" w:rsidR="00A9147D" w:rsidRDefault="00000000">
      <w:pPr>
        <w:pStyle w:val="1"/>
        <w:numPr>
          <w:ilvl w:val="0"/>
          <w:numId w:val="2"/>
        </w:numPr>
        <w:tabs>
          <w:tab w:val="left" w:pos="360"/>
        </w:tabs>
        <w:spacing w:before="0" w:after="0"/>
        <w:ind w:left="0" w:firstLine="0"/>
      </w:pPr>
      <w:r>
        <w:rPr>
          <w:rFonts w:hint="eastAsia"/>
        </w:rPr>
        <w:t>Pr</w:t>
      </w:r>
      <w:r>
        <w:t>oposal</w:t>
      </w:r>
    </w:p>
    <w:p w14:paraId="755A549C" w14:textId="77777777" w:rsidR="00A9147D" w:rsidRDefault="00A9147D">
      <w:pPr>
        <w:rPr>
          <w:rFonts w:eastAsia="Batang" w:cs="Times"/>
          <w:b/>
          <w:bCs/>
          <w:i/>
          <w:iCs/>
          <w:szCs w:val="20"/>
        </w:rPr>
      </w:pPr>
    </w:p>
    <w:p w14:paraId="256CE09B" w14:textId="77777777" w:rsidR="00A9147D" w:rsidRDefault="00000000">
      <w:pPr>
        <w:rPr>
          <w:rFonts w:eastAsia="Batang" w:cs="Times"/>
          <w:b/>
          <w:bCs/>
          <w:szCs w:val="20"/>
        </w:rPr>
      </w:pPr>
      <w:r>
        <w:rPr>
          <w:rFonts w:eastAsia="Batang" w:cs="Times"/>
          <w:b/>
          <w:bCs/>
          <w:i/>
          <w:iCs/>
          <w:szCs w:val="20"/>
          <w:highlight w:val="yellow"/>
        </w:rPr>
        <w:t>Proposal 1</w:t>
      </w:r>
      <w:r>
        <w:rPr>
          <w:rFonts w:eastAsia="Batang" w:cs="Times"/>
          <w:b/>
          <w:bCs/>
          <w:szCs w:val="20"/>
          <w:highlight w:val="yellow"/>
        </w:rPr>
        <w:t>:</w:t>
      </w:r>
      <w:r>
        <w:rPr>
          <w:rFonts w:eastAsia="Batang" w:cs="Times"/>
          <w:b/>
          <w:bCs/>
          <w:szCs w:val="20"/>
        </w:rPr>
        <w:t xml:space="preserve"> Accept following TP.</w:t>
      </w:r>
    </w:p>
    <w:p w14:paraId="5CF15E91" w14:textId="77777777" w:rsidR="00A9147D" w:rsidRDefault="00000000">
      <w:pPr>
        <w:spacing w:beforeLines="50" w:before="120" w:afterLines="50"/>
        <w:rPr>
          <w:rFonts w:ascii="Times New Roman" w:eastAsia="DengXian" w:hAnsi="Times New Roman"/>
          <w:color w:val="0070C0"/>
          <w:kern w:val="2"/>
          <w:lang w:val="en-US"/>
        </w:rPr>
      </w:pP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 xml:space="preserve">----------Start </w:t>
      </w:r>
      <w:r>
        <w:rPr>
          <w:rFonts w:ascii="Times New Roman" w:eastAsia="DengXian" w:hAnsi="Times New Roman"/>
          <w:color w:val="0070C0"/>
          <w:kern w:val="2"/>
          <w:lang w:val="en-US"/>
        </w:rPr>
        <w:t xml:space="preserve">of TP#1 for TS 38.211 Clause 3.3 &amp; Clause 4.1 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----------------------------</w:t>
      </w:r>
    </w:p>
    <w:p w14:paraId="32C5CCB9" w14:textId="77777777" w:rsidR="00A9147D" w:rsidRDefault="00000000">
      <w:pPr>
        <w:jc w:val="center"/>
        <w:rPr>
          <w:color w:val="0070C0"/>
        </w:rPr>
      </w:pPr>
      <w:r>
        <w:rPr>
          <w:b/>
          <w:bCs/>
          <w:color w:val="0070C0"/>
        </w:rPr>
        <w:t>&lt; Unchanged text omitted &gt;</w:t>
      </w:r>
    </w:p>
    <w:p w14:paraId="694BAC32" w14:textId="77777777" w:rsidR="00A9147D" w:rsidRDefault="00000000">
      <w:pPr>
        <w:rPr>
          <w:b/>
          <w:bCs/>
        </w:rPr>
      </w:pPr>
      <w:r>
        <w:rPr>
          <w:b/>
          <w:bCs/>
        </w:rPr>
        <w:t>3.3</w:t>
      </w:r>
      <w:r>
        <w:rPr>
          <w:b/>
          <w:bCs/>
        </w:rPr>
        <w:tab/>
        <w:t>Abbreviations</w:t>
      </w:r>
    </w:p>
    <w:p w14:paraId="1719F5F3" w14:textId="77777777" w:rsidR="00A9147D" w:rsidRDefault="00000000">
      <w:pPr>
        <w:pStyle w:val="EW"/>
      </w:pPr>
      <w:r>
        <w:t>IAB-MT</w:t>
      </w:r>
      <w:r>
        <w:tab/>
        <w:t xml:space="preserve">IAB mobile termination </w:t>
      </w:r>
    </w:p>
    <w:p w14:paraId="59FD2173" w14:textId="77777777" w:rsidR="00A9147D" w:rsidRDefault="00000000">
      <w:pPr>
        <w:pStyle w:val="EW"/>
      </w:pPr>
      <w:r>
        <w:t>IE</w:t>
      </w:r>
      <w:r>
        <w:tab/>
        <w:t>Information element</w:t>
      </w:r>
    </w:p>
    <w:p w14:paraId="5EF91F21" w14:textId="77777777" w:rsidR="00A9147D" w:rsidRDefault="00000000">
      <w:pPr>
        <w:pStyle w:val="EW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NCR-MT             </w:t>
      </w:r>
      <w:r>
        <w:rPr>
          <w:color w:val="FF0000"/>
        </w:rPr>
        <w:t>Network controlled repeater</w:t>
      </w:r>
      <w:r>
        <w:rPr>
          <w:rFonts w:hint="eastAsia"/>
          <w:color w:val="FF0000"/>
          <w:lang w:eastAsia="zh-CN"/>
        </w:rPr>
        <w:t xml:space="preserve"> - </w:t>
      </w:r>
      <w:r>
        <w:rPr>
          <w:color w:val="FF0000"/>
        </w:rPr>
        <w:t>mobile termination</w:t>
      </w:r>
    </w:p>
    <w:p w14:paraId="162C137A" w14:textId="77777777" w:rsidR="00A9147D" w:rsidRDefault="00000000">
      <w:pPr>
        <w:pStyle w:val="EW"/>
      </w:pPr>
      <w:r>
        <w:t>PBCH</w:t>
      </w:r>
      <w:r>
        <w:tab/>
        <w:t>Physical broadcast channel</w:t>
      </w:r>
    </w:p>
    <w:p w14:paraId="33F3E4AC" w14:textId="77777777" w:rsidR="00A9147D" w:rsidRDefault="00000000">
      <w:pPr>
        <w:jc w:val="center"/>
        <w:rPr>
          <w:color w:val="0070C0"/>
        </w:rPr>
      </w:pPr>
      <w:r>
        <w:rPr>
          <w:b/>
          <w:bCs/>
          <w:color w:val="0070C0"/>
        </w:rPr>
        <w:t>&lt; Unchanged text omitted &gt;</w:t>
      </w:r>
    </w:p>
    <w:p w14:paraId="2E985A8D" w14:textId="77777777" w:rsidR="00A9147D" w:rsidRDefault="00000000">
      <w:pPr>
        <w:rPr>
          <w:b/>
          <w:bCs/>
        </w:rPr>
      </w:pPr>
      <w:r>
        <w:rPr>
          <w:b/>
          <w:bCs/>
        </w:rPr>
        <w:t>4.1</w:t>
      </w:r>
      <w:r>
        <w:rPr>
          <w:b/>
          <w:bCs/>
        </w:rPr>
        <w:tab/>
        <w:t>General</w:t>
      </w:r>
    </w:p>
    <w:p w14:paraId="25D69250" w14:textId="77777777" w:rsidR="00A9147D" w:rsidRDefault="00000000">
      <w:r>
        <w:t xml:space="preserve">Throughout this specification, unless otherwise noted, the size of various fields in the time domain is expressed in time units </w:t>
      </w:r>
      <w:r>
        <w:rPr>
          <w:position w:val="-10"/>
        </w:rPr>
        <w:object w:dxaOrig="1573" w:dyaOrig="332" w14:anchorId="1A2B29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5pt;height:16.5pt" o:ole="">
            <v:imagedata r:id="rId8" o:title=""/>
          </v:shape>
          <o:OLEObject Type="Embed" ProgID="Equation.3" ShapeID="_x0000_i1025" DrawAspect="Content" ObjectID="_1758374896" r:id="rId9"/>
        </w:object>
      </w:r>
      <w:r>
        <w:t xml:space="preserve"> where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=480∙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Hz and </w:t>
      </w:r>
      <w:r>
        <w:rPr>
          <w:position w:val="-10"/>
        </w:rPr>
        <w:object w:dxaOrig="930" w:dyaOrig="332" w14:anchorId="04D24A2A">
          <v:shape id="_x0000_i1026" type="#_x0000_t75" style="width:46.5pt;height:16.5pt" o:ole="">
            <v:imagedata r:id="rId10" o:title=""/>
          </v:shape>
          <o:OLEObject Type="Embed" ProgID="Equation.3" ShapeID="_x0000_i1026" DrawAspect="Content" ObjectID="_1758374897" r:id="rId11"/>
        </w:object>
      </w:r>
      <w:r>
        <w:t xml:space="preserve">. The constant </w:t>
      </w:r>
      <w:r>
        <w:rPr>
          <w:position w:val="-10"/>
        </w:rPr>
        <w:object w:dxaOrig="1263" w:dyaOrig="299" w14:anchorId="1273E575">
          <v:shape id="_x0000_i1027" type="#_x0000_t75" style="width:63pt;height:15pt" o:ole="">
            <v:imagedata r:id="rId12" o:title=""/>
          </v:shape>
          <o:OLEObject Type="Embed" ProgID="Equation.3" ShapeID="_x0000_i1027" DrawAspect="Content" ObjectID="_1758374898" r:id="rId13"/>
        </w:object>
      </w:r>
      <w:r>
        <w:t xml:space="preserve"> where </w:t>
      </w:r>
      <w:r>
        <w:rPr>
          <w:position w:val="-12"/>
        </w:rPr>
        <w:object w:dxaOrig="1684" w:dyaOrig="332" w14:anchorId="033675D3">
          <v:shape id="_x0000_i1028" type="#_x0000_t75" style="width:84pt;height:16.5pt" o:ole="">
            <v:imagedata r:id="rId14" o:title=""/>
          </v:shape>
          <o:OLEObject Type="Embed" ProgID="Equation.3" ShapeID="_x0000_i1028" DrawAspect="Content" ObjectID="_1758374899" r:id="rId15"/>
        </w:object>
      </w:r>
      <w:r>
        <w:t xml:space="preserve">, </w:t>
      </w:r>
      <w:r>
        <w:rPr>
          <w:position w:val="-10"/>
        </w:rPr>
        <w:object w:dxaOrig="1495" w:dyaOrig="354" w14:anchorId="5B52DB98">
          <v:shape id="_x0000_i1029" type="#_x0000_t75" style="width:75pt;height:17.5pt" o:ole="">
            <v:imagedata r:id="rId16" o:title=""/>
          </v:shape>
          <o:OLEObject Type="Embed" ProgID="Equation.3" ShapeID="_x0000_i1029" DrawAspect="Content" ObjectID="_1758374900" r:id="rId17"/>
        </w:object>
      </w:r>
      <w:r>
        <w:t xml:space="preserve"> and </w:t>
      </w:r>
      <w:r>
        <w:rPr>
          <w:position w:val="-12"/>
        </w:rPr>
        <w:object w:dxaOrig="1119" w:dyaOrig="332" w14:anchorId="14BF3C0D">
          <v:shape id="_x0000_i1030" type="#_x0000_t75" style="width:56pt;height:16.5pt" o:ole="">
            <v:imagedata r:id="rId18" o:title=""/>
          </v:shape>
          <o:OLEObject Type="Embed" ProgID="Equation.3" ShapeID="_x0000_i1030" DrawAspect="Content" ObjectID="_1758374901" r:id="rId19"/>
        </w:object>
      </w:r>
      <w:r>
        <w:t>.</w:t>
      </w:r>
    </w:p>
    <w:p w14:paraId="33B7DEA8" w14:textId="77777777" w:rsidR="00A9147D" w:rsidRDefault="00000000">
      <w:pPr>
        <w:spacing w:after="0"/>
      </w:pPr>
      <w:r>
        <w:t>Throughout this specification, unless otherwise noted, statements using the term "UE" in clauses 4, 5, 6, or 7 are equally applicable to the IAB-MT part of an IAB-node</w:t>
      </w:r>
      <w:r>
        <w:rPr>
          <w:rFonts w:hint="eastAsia"/>
          <w:color w:val="FF0000"/>
        </w:rPr>
        <w:t xml:space="preserve"> and the NCR-MT</w:t>
      </w:r>
      <w:r>
        <w:rPr>
          <w:color w:val="FF0000"/>
        </w:rPr>
        <w:t xml:space="preserve"> part of an NCR node</w:t>
      </w:r>
      <w:r>
        <w:t xml:space="preserve">. </w:t>
      </w:r>
    </w:p>
    <w:p w14:paraId="2FE59379" w14:textId="77777777" w:rsidR="00A9147D" w:rsidRDefault="00000000">
      <w:pPr>
        <w:jc w:val="center"/>
        <w:rPr>
          <w:b/>
          <w:bCs/>
          <w:color w:val="0070C0"/>
        </w:rPr>
      </w:pPr>
      <w:r>
        <w:rPr>
          <w:b/>
          <w:bCs/>
          <w:color w:val="0070C0"/>
        </w:rPr>
        <w:t>&lt; Unchanged text omitted &gt;</w:t>
      </w:r>
    </w:p>
    <w:p w14:paraId="15574487" w14:textId="77777777" w:rsidR="00A9147D" w:rsidRDefault="00000000">
      <w:pPr>
        <w:rPr>
          <w:rFonts w:ascii="Times New Roman" w:eastAsia="DengXian" w:hAnsi="Times New Roman"/>
          <w:color w:val="0070C0"/>
          <w:szCs w:val="20"/>
          <w:lang w:val="en-US"/>
        </w:rPr>
      </w:pP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--------------------------------</w:t>
      </w:r>
      <w:r>
        <w:rPr>
          <w:rFonts w:ascii="Times New Roman" w:eastAsia="SimSun" w:hAnsi="Times New Roman" w:hint="eastAsia"/>
          <w:color w:val="0070C0"/>
          <w:kern w:val="2"/>
          <w:lang w:val="en-US"/>
        </w:rPr>
        <w:t>----</w:t>
      </w:r>
      <w:r>
        <w:rPr>
          <w:rFonts w:ascii="Times New Roman" w:eastAsia="SimSun" w:hAnsi="Times New Roman"/>
          <w:color w:val="0070C0"/>
          <w:kern w:val="2"/>
          <w:lang w:val="en-US"/>
        </w:rPr>
        <w:t>-</w:t>
      </w:r>
      <w:r>
        <w:rPr>
          <w:rFonts w:ascii="Times New Roman" w:eastAsia="SimSun" w:hAnsi="Times New Roman" w:hint="eastAsia"/>
          <w:color w:val="0070C0"/>
          <w:kern w:val="2"/>
          <w:lang w:val="en-US"/>
        </w:rPr>
        <w:t>--</w:t>
      </w:r>
      <w:r>
        <w:rPr>
          <w:rFonts w:ascii="Times New Roman" w:eastAsia="SimSu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</w:t>
      </w:r>
      <w:r>
        <w:rPr>
          <w:rFonts w:ascii="Times New Roman" w:eastAsia="DengXian" w:hAnsi="Times New Roman"/>
          <w:color w:val="0070C0"/>
          <w:kern w:val="2"/>
          <w:lang w:val="en-US"/>
        </w:rPr>
        <w:t>----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End of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 xml:space="preserve"> </w:t>
      </w:r>
      <w:r>
        <w:rPr>
          <w:rFonts w:ascii="Times New Roman" w:eastAsia="DengXian" w:hAnsi="Times New Roman"/>
          <w:color w:val="0070C0"/>
          <w:kern w:val="2"/>
          <w:lang w:val="en-US"/>
        </w:rPr>
        <w:t>TP#1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</w:t>
      </w:r>
      <w:r>
        <w:rPr>
          <w:rFonts w:ascii="Times New Roman" w:eastAsia="SimSun" w:hAnsi="Times New Roman" w:hint="eastAsia"/>
          <w:color w:val="0070C0"/>
          <w:kern w:val="2"/>
          <w:lang w:val="en-US"/>
        </w:rPr>
        <w:t>-----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</w:t>
      </w:r>
    </w:p>
    <w:p w14:paraId="4FECB207" w14:textId="77777777" w:rsidR="00A9147D" w:rsidRDefault="00A9147D">
      <w:pPr>
        <w:rPr>
          <w:rFonts w:eastAsia="Batang" w:cs="Times"/>
          <w:b/>
          <w:bCs/>
          <w:szCs w:val="20"/>
          <w:lang w:val="en-US"/>
        </w:rPr>
      </w:pPr>
    </w:p>
    <w:p w14:paraId="46769F38" w14:textId="77777777" w:rsidR="00A9147D" w:rsidRDefault="00000000">
      <w:pPr>
        <w:rPr>
          <w:rFonts w:eastAsia="Batang" w:cs="Times"/>
          <w:b/>
          <w:bCs/>
          <w:szCs w:val="20"/>
        </w:rPr>
      </w:pPr>
      <w:r>
        <w:rPr>
          <w:rFonts w:eastAsia="Batang" w:cs="Times"/>
          <w:b/>
          <w:bCs/>
          <w:i/>
          <w:iCs/>
          <w:szCs w:val="20"/>
          <w:highlight w:val="yellow"/>
        </w:rPr>
        <w:t>Proposal 2</w:t>
      </w:r>
      <w:r>
        <w:rPr>
          <w:rFonts w:eastAsia="Batang" w:cs="Times"/>
          <w:b/>
          <w:bCs/>
          <w:szCs w:val="20"/>
          <w:highlight w:val="yellow"/>
        </w:rPr>
        <w:t>:</w:t>
      </w:r>
      <w:r>
        <w:rPr>
          <w:rFonts w:eastAsia="Batang" w:cs="Times"/>
          <w:b/>
          <w:bCs/>
          <w:szCs w:val="20"/>
        </w:rPr>
        <w:t xml:space="preserve"> Accept following TP.</w:t>
      </w:r>
    </w:p>
    <w:p w14:paraId="4FC6F7AB" w14:textId="77777777" w:rsidR="00A9147D" w:rsidRDefault="00000000">
      <w:pPr>
        <w:spacing w:beforeLines="50" w:before="120" w:afterLines="50"/>
        <w:rPr>
          <w:rFonts w:ascii="Times New Roman" w:eastAsia="DengXian" w:hAnsi="Times New Roman"/>
          <w:color w:val="0070C0"/>
          <w:kern w:val="2"/>
          <w:lang w:val="en-US"/>
        </w:rPr>
      </w:pP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 xml:space="preserve">----------Start </w:t>
      </w:r>
      <w:r>
        <w:rPr>
          <w:rFonts w:ascii="Times New Roman" w:eastAsia="DengXian" w:hAnsi="Times New Roman"/>
          <w:color w:val="0070C0"/>
          <w:kern w:val="2"/>
          <w:lang w:val="en-US"/>
        </w:rPr>
        <w:t xml:space="preserve">of TP#2 for TS 38.214 Clause 3.3 &amp; Clause 4 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</w:t>
      </w:r>
    </w:p>
    <w:p w14:paraId="1F182A2C" w14:textId="77777777" w:rsidR="00A9147D" w:rsidRDefault="00000000">
      <w:pPr>
        <w:jc w:val="center"/>
        <w:rPr>
          <w:color w:val="0070C0"/>
        </w:rPr>
      </w:pPr>
      <w:r>
        <w:rPr>
          <w:b/>
          <w:bCs/>
          <w:color w:val="0070C0"/>
        </w:rPr>
        <w:t>&lt; Unchanged text omitted &gt;</w:t>
      </w:r>
    </w:p>
    <w:p w14:paraId="7D16A5A9" w14:textId="77777777" w:rsidR="00A9147D" w:rsidRDefault="00A9147D">
      <w:pPr>
        <w:rPr>
          <w:b/>
          <w:bCs/>
        </w:rPr>
      </w:pPr>
    </w:p>
    <w:p w14:paraId="68DE2FC4" w14:textId="77777777" w:rsidR="00A9147D" w:rsidRDefault="00000000">
      <w:r>
        <w:rPr>
          <w:b/>
          <w:bCs/>
        </w:rPr>
        <w:t>3.3</w:t>
      </w:r>
      <w:r>
        <w:rPr>
          <w:b/>
          <w:bCs/>
        </w:rPr>
        <w:tab/>
        <w:t>Abbreviations</w:t>
      </w:r>
    </w:p>
    <w:p w14:paraId="2EDB5748" w14:textId="77777777" w:rsidR="00A9147D" w:rsidRDefault="00000000">
      <w:pPr>
        <w:pStyle w:val="EW"/>
      </w:pPr>
      <w:r>
        <w:t>IAB-MT</w:t>
      </w:r>
      <w:r>
        <w:tab/>
        <w:t xml:space="preserve">Integrated Access and Backhaul – Mobile Terminal </w:t>
      </w:r>
    </w:p>
    <w:p w14:paraId="2FB04045" w14:textId="77777777" w:rsidR="00A9147D" w:rsidRDefault="00000000">
      <w:pPr>
        <w:pStyle w:val="EW"/>
      </w:pPr>
      <w:r>
        <w:t>L1-RSRP</w:t>
      </w:r>
      <w:r>
        <w:tab/>
        <w:t>Layer 1 reference signal received power</w:t>
      </w:r>
    </w:p>
    <w:p w14:paraId="179E6C1D" w14:textId="77777777" w:rsidR="00A9147D" w:rsidRDefault="00000000">
      <w:pPr>
        <w:pStyle w:val="EW"/>
      </w:pPr>
      <w:r>
        <w:t>LI</w:t>
      </w:r>
      <w:r>
        <w:tab/>
        <w:t>Layer Indicator</w:t>
      </w:r>
    </w:p>
    <w:p w14:paraId="33A64E3B" w14:textId="77777777" w:rsidR="00A9147D" w:rsidRDefault="00000000">
      <w:pPr>
        <w:pStyle w:val="EW"/>
      </w:pPr>
      <w:r>
        <w:t>MCS</w:t>
      </w:r>
      <w:r>
        <w:tab/>
        <w:t>Modulation and coding scheme</w:t>
      </w:r>
    </w:p>
    <w:p w14:paraId="0E140208" w14:textId="77777777" w:rsidR="00A9147D" w:rsidRDefault="00000000">
      <w:pPr>
        <w:pStyle w:val="EW"/>
      </w:pPr>
      <w:r>
        <w:rPr>
          <w:rFonts w:hint="eastAsia"/>
          <w:color w:val="FF0000"/>
          <w:lang w:eastAsia="zh-CN"/>
        </w:rPr>
        <w:t xml:space="preserve">NCR-MT             </w:t>
      </w:r>
      <w:r>
        <w:rPr>
          <w:color w:val="FF0000"/>
        </w:rPr>
        <w:t>Network controlled repeater</w:t>
      </w:r>
      <w:r>
        <w:rPr>
          <w:rFonts w:hint="eastAsia"/>
          <w:color w:val="FF0000"/>
          <w:lang w:eastAsia="zh-CN"/>
        </w:rPr>
        <w:t xml:space="preserve"> - </w:t>
      </w:r>
      <w:r>
        <w:rPr>
          <w:color w:val="FF0000"/>
        </w:rPr>
        <w:t>mobile termination</w:t>
      </w:r>
    </w:p>
    <w:p w14:paraId="309EA328" w14:textId="77777777" w:rsidR="00A9147D" w:rsidRDefault="00000000">
      <w:pPr>
        <w:pStyle w:val="EW"/>
        <w:rPr>
          <w:b/>
          <w:bCs/>
          <w:lang w:eastAsia="zh-CN"/>
        </w:rPr>
      </w:pPr>
      <w:r>
        <w:t>PDCCH</w:t>
      </w:r>
      <w:r>
        <w:tab/>
        <w:t>Physical downlink control channel</w:t>
      </w:r>
    </w:p>
    <w:p w14:paraId="50E5FC7D" w14:textId="77777777" w:rsidR="00A9147D" w:rsidRDefault="00A9147D">
      <w:pPr>
        <w:jc w:val="center"/>
        <w:rPr>
          <w:b/>
          <w:bCs/>
        </w:rPr>
      </w:pPr>
    </w:p>
    <w:p w14:paraId="221421C7" w14:textId="77777777" w:rsidR="00A9147D" w:rsidRDefault="00000000">
      <w:pPr>
        <w:jc w:val="center"/>
        <w:rPr>
          <w:color w:val="0070C0"/>
        </w:rPr>
      </w:pPr>
      <w:r>
        <w:rPr>
          <w:b/>
          <w:bCs/>
          <w:color w:val="0070C0"/>
        </w:rPr>
        <w:t>&lt; Unchanged text omitted &gt;</w:t>
      </w:r>
    </w:p>
    <w:p w14:paraId="79608503" w14:textId="77777777" w:rsidR="00A9147D" w:rsidRDefault="00000000">
      <w:pPr>
        <w:rPr>
          <w:b/>
          <w:bCs/>
        </w:rPr>
      </w:pPr>
      <w:r>
        <w:rPr>
          <w:b/>
          <w:bCs/>
        </w:rPr>
        <w:t>4</w:t>
      </w:r>
      <w:r>
        <w:rPr>
          <w:b/>
          <w:bCs/>
        </w:rPr>
        <w:tab/>
        <w:t xml:space="preserve">Power control </w:t>
      </w:r>
    </w:p>
    <w:p w14:paraId="06DBCD5D" w14:textId="77777777" w:rsidR="00A9147D" w:rsidRDefault="00000000">
      <w:pPr>
        <w:rPr>
          <w:color w:val="000000"/>
        </w:rPr>
      </w:pPr>
      <w:r>
        <w:lastRenderedPageBreak/>
        <w:t>Throughout this specification, unless otherwise noted, statements using the term "UE" in clauses 4, 5, or 6 are equally applicable to the IAB-MT part of an IAB node</w:t>
      </w:r>
      <w:r>
        <w:rPr>
          <w:rFonts w:hint="eastAsia"/>
          <w:color w:val="FF0000"/>
        </w:rPr>
        <w:t xml:space="preserve"> and the NCR-MT</w:t>
      </w:r>
      <w:r>
        <w:rPr>
          <w:color w:val="FF0000"/>
        </w:rPr>
        <w:t xml:space="preserve"> part of an NCR node</w:t>
      </w:r>
      <w:r>
        <w:t>.</w:t>
      </w:r>
    </w:p>
    <w:p w14:paraId="39621345" w14:textId="77777777" w:rsidR="00A9147D" w:rsidRDefault="00000000">
      <w:pPr>
        <w:jc w:val="center"/>
        <w:rPr>
          <w:color w:val="0070C0"/>
          <w:lang w:val="en-US"/>
        </w:rPr>
      </w:pPr>
      <w:r>
        <w:rPr>
          <w:b/>
          <w:bCs/>
          <w:color w:val="0070C0"/>
        </w:rPr>
        <w:t>&lt; Unchanged text omitted &gt;</w:t>
      </w:r>
    </w:p>
    <w:p w14:paraId="028A1789" w14:textId="77777777" w:rsidR="00A9147D" w:rsidRDefault="00000000">
      <w:pPr>
        <w:rPr>
          <w:rFonts w:ascii="Times New Roman" w:eastAsia="DengXian" w:hAnsi="Times New Roman"/>
          <w:color w:val="0070C0"/>
          <w:szCs w:val="20"/>
          <w:lang w:val="en-US"/>
        </w:rPr>
      </w:pP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--------------------------------</w:t>
      </w:r>
      <w:r>
        <w:rPr>
          <w:rFonts w:ascii="Times New Roman" w:eastAsia="SimSun" w:hAnsi="Times New Roman" w:hint="eastAsia"/>
          <w:color w:val="0070C0"/>
          <w:kern w:val="2"/>
          <w:lang w:val="en-US"/>
        </w:rPr>
        <w:t>----</w:t>
      </w:r>
      <w:r>
        <w:rPr>
          <w:rFonts w:ascii="Times New Roman" w:eastAsia="SimSun" w:hAnsi="Times New Roman"/>
          <w:color w:val="0070C0"/>
          <w:kern w:val="2"/>
          <w:lang w:val="en-US"/>
        </w:rPr>
        <w:t>-</w:t>
      </w:r>
      <w:r>
        <w:rPr>
          <w:rFonts w:ascii="Times New Roman" w:eastAsia="SimSun" w:hAnsi="Times New Roman" w:hint="eastAsia"/>
          <w:color w:val="0070C0"/>
          <w:kern w:val="2"/>
          <w:lang w:val="en-US"/>
        </w:rPr>
        <w:t>--</w:t>
      </w:r>
      <w:r>
        <w:rPr>
          <w:rFonts w:ascii="Times New Roman" w:eastAsia="SimSu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</w:t>
      </w:r>
      <w:r>
        <w:rPr>
          <w:rFonts w:ascii="Times New Roman" w:eastAsia="DengXian" w:hAnsi="Times New Roman"/>
          <w:color w:val="0070C0"/>
          <w:kern w:val="2"/>
          <w:lang w:val="en-US"/>
        </w:rPr>
        <w:t>----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End of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 xml:space="preserve"> </w:t>
      </w:r>
      <w:r>
        <w:rPr>
          <w:rFonts w:ascii="Times New Roman" w:eastAsia="DengXian" w:hAnsi="Times New Roman"/>
          <w:color w:val="0070C0"/>
          <w:kern w:val="2"/>
          <w:lang w:val="en-US"/>
        </w:rPr>
        <w:t>TP#2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</w:t>
      </w:r>
      <w:r>
        <w:rPr>
          <w:rFonts w:ascii="Times New Roman" w:eastAsia="SimSun" w:hAnsi="Times New Roman" w:hint="eastAsia"/>
          <w:color w:val="0070C0"/>
          <w:kern w:val="2"/>
          <w:lang w:val="en-US"/>
        </w:rPr>
        <w:t>-----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</w:t>
      </w:r>
    </w:p>
    <w:p w14:paraId="06B5919B" w14:textId="77777777" w:rsidR="00A9147D" w:rsidRDefault="00A9147D">
      <w:pPr>
        <w:rPr>
          <w:rFonts w:eastAsia="Batang" w:cs="Times"/>
          <w:szCs w:val="20"/>
          <w:lang w:val="en-US"/>
        </w:rPr>
      </w:pPr>
    </w:p>
    <w:p w14:paraId="7E9F8893" w14:textId="77777777" w:rsidR="00A9147D" w:rsidRDefault="00000000">
      <w:pPr>
        <w:pStyle w:val="1"/>
        <w:numPr>
          <w:ilvl w:val="0"/>
          <w:numId w:val="2"/>
        </w:numPr>
        <w:tabs>
          <w:tab w:val="left" w:pos="360"/>
        </w:tabs>
        <w:spacing w:before="0" w:after="0"/>
        <w:ind w:left="0" w:firstLine="0"/>
      </w:pPr>
      <w:r>
        <w:t>Summary</w:t>
      </w:r>
    </w:p>
    <w:p w14:paraId="4947791C" w14:textId="77777777" w:rsidR="00A9147D" w:rsidRDefault="00000000">
      <w:pPr>
        <w:pStyle w:val="2"/>
        <w:numPr>
          <w:ilvl w:val="1"/>
          <w:numId w:val="2"/>
        </w:numPr>
        <w:tabs>
          <w:tab w:val="left" w:pos="360"/>
        </w:tabs>
        <w:spacing w:line="240" w:lineRule="auto"/>
        <w:ind w:left="0" w:firstLine="0"/>
        <w:rPr>
          <w:i w:val="0"/>
          <w:iCs w:val="0"/>
        </w:rPr>
      </w:pPr>
      <w:r>
        <w:rPr>
          <w:i w:val="0"/>
          <w:iCs w:val="0"/>
        </w:rPr>
        <w:t>Specify general behavior of NCR-MT in TS 38.211 and TS 38.214 (ZTE)</w:t>
      </w:r>
    </w:p>
    <w:p w14:paraId="55FE12B1" w14:textId="77777777" w:rsidR="00A9147D" w:rsidRDefault="00000000">
      <w:r>
        <w:t xml:space="preserve">In </w:t>
      </w:r>
      <w:r>
        <w:rPr>
          <w:b/>
          <w:bCs/>
        </w:rPr>
        <w:t xml:space="preserve">TP#1 </w:t>
      </w:r>
      <w:r>
        <w:t xml:space="preserve">and </w:t>
      </w:r>
      <w:r>
        <w:rPr>
          <w:b/>
          <w:bCs/>
        </w:rPr>
        <w:t>TP#2</w:t>
      </w:r>
      <w:r>
        <w:t xml:space="preserve"> </w:t>
      </w:r>
      <w:r>
        <w:fldChar w:fldCharType="begin"/>
      </w:r>
      <w:r>
        <w:instrText xml:space="preserve"> REF _Ref146991485 \r \h </w:instrText>
      </w:r>
      <w:r>
        <w:fldChar w:fldCharType="separate"/>
      </w:r>
      <w:r>
        <w:t>[1]</w:t>
      </w:r>
      <w:r>
        <w:fldChar w:fldCharType="end"/>
      </w:r>
      <w:r>
        <w:t xml:space="preserve">, it is proposed to update the general description on NCR in TS 38.211 and TS38.214. The FL thinks the proposal is reasonable and the proposed update is acceptable. </w:t>
      </w:r>
    </w:p>
    <w:p w14:paraId="0F20033E" w14:textId="77777777" w:rsidR="00A9147D" w:rsidRDefault="00000000">
      <w:r>
        <w:t>Only one thing needs to update. As a counterpart of ‘the IAB-MT’, perhaps, ‘</w:t>
      </w:r>
      <w:r>
        <w:rPr>
          <w:rFonts w:hint="eastAsia"/>
          <w:color w:val="FF0000"/>
        </w:rPr>
        <w:t>the NCR-MT</w:t>
      </w:r>
      <w:r>
        <w:rPr>
          <w:color w:val="FF0000"/>
        </w:rPr>
        <w:t xml:space="preserve"> part of an NCR-node</w:t>
      </w:r>
      <w:r>
        <w:t>’ is better than only ‘</w:t>
      </w:r>
      <w:r>
        <w:rPr>
          <w:color w:val="FF0000"/>
        </w:rPr>
        <w:t>the NCR-MT</w:t>
      </w:r>
      <w:r>
        <w:t>’ in both TPs.</w:t>
      </w:r>
    </w:p>
    <w:p w14:paraId="5A292D6D" w14:textId="77777777" w:rsidR="00A9147D" w:rsidRDefault="00A9147D">
      <w:pPr>
        <w:rPr>
          <w:rFonts w:eastAsia="Batang" w:cs="Times"/>
          <w:b/>
          <w:bCs/>
          <w:i/>
          <w:iCs/>
          <w:szCs w:val="20"/>
        </w:rPr>
      </w:pPr>
    </w:p>
    <w:p w14:paraId="78C08882" w14:textId="77777777" w:rsidR="00A9147D" w:rsidRDefault="00000000">
      <w:pPr>
        <w:rPr>
          <w:rFonts w:eastAsia="Batang" w:cs="Times"/>
          <w:b/>
          <w:bCs/>
          <w:szCs w:val="20"/>
        </w:rPr>
      </w:pPr>
      <w:r>
        <w:rPr>
          <w:rFonts w:eastAsia="Batang" w:cs="Times"/>
          <w:b/>
          <w:bCs/>
          <w:i/>
          <w:iCs/>
          <w:szCs w:val="20"/>
          <w:highlight w:val="yellow"/>
        </w:rPr>
        <w:t>Proposal 1</w:t>
      </w:r>
      <w:r>
        <w:rPr>
          <w:rFonts w:eastAsia="Batang" w:cs="Times"/>
          <w:b/>
          <w:bCs/>
          <w:szCs w:val="20"/>
          <w:highlight w:val="yellow"/>
        </w:rPr>
        <w:t>:</w:t>
      </w:r>
      <w:r>
        <w:rPr>
          <w:rFonts w:eastAsia="Batang" w:cs="Times"/>
          <w:b/>
          <w:bCs/>
          <w:szCs w:val="20"/>
        </w:rPr>
        <w:t xml:space="preserve"> Accept following TP.</w:t>
      </w:r>
    </w:p>
    <w:p w14:paraId="0D41E23C" w14:textId="77777777" w:rsidR="00A9147D" w:rsidRDefault="00000000">
      <w:pPr>
        <w:spacing w:beforeLines="50" w:before="120" w:afterLines="50"/>
        <w:rPr>
          <w:rFonts w:ascii="Times New Roman" w:eastAsia="DengXian" w:hAnsi="Times New Roman"/>
          <w:color w:val="0070C0"/>
          <w:kern w:val="2"/>
          <w:lang w:val="en-US"/>
        </w:rPr>
      </w:pP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 xml:space="preserve">----------Start </w:t>
      </w:r>
      <w:r>
        <w:rPr>
          <w:rFonts w:ascii="Times New Roman" w:eastAsia="DengXian" w:hAnsi="Times New Roman"/>
          <w:color w:val="0070C0"/>
          <w:kern w:val="2"/>
          <w:lang w:val="en-US"/>
        </w:rPr>
        <w:t xml:space="preserve">of TP#1 for TS 38.211 Clause 3.3 &amp; Clause 4.1 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----------------------------</w:t>
      </w:r>
    </w:p>
    <w:p w14:paraId="3390C6C7" w14:textId="77777777" w:rsidR="00A9147D" w:rsidRDefault="00000000">
      <w:pPr>
        <w:jc w:val="center"/>
        <w:rPr>
          <w:color w:val="0070C0"/>
        </w:rPr>
      </w:pPr>
      <w:r>
        <w:rPr>
          <w:b/>
          <w:bCs/>
          <w:color w:val="0070C0"/>
        </w:rPr>
        <w:t>&lt; Unchanged text omitted &gt;</w:t>
      </w:r>
    </w:p>
    <w:p w14:paraId="542695DC" w14:textId="77777777" w:rsidR="00A9147D" w:rsidRDefault="00000000">
      <w:pPr>
        <w:rPr>
          <w:b/>
          <w:bCs/>
        </w:rPr>
      </w:pPr>
      <w:r>
        <w:rPr>
          <w:b/>
          <w:bCs/>
        </w:rPr>
        <w:t>3.3</w:t>
      </w:r>
      <w:r>
        <w:rPr>
          <w:b/>
          <w:bCs/>
        </w:rPr>
        <w:tab/>
        <w:t>Abbreviations</w:t>
      </w:r>
    </w:p>
    <w:p w14:paraId="67500365" w14:textId="77777777" w:rsidR="00A9147D" w:rsidRDefault="00000000">
      <w:pPr>
        <w:pStyle w:val="EW"/>
      </w:pPr>
      <w:r>
        <w:t>IAB-MT</w:t>
      </w:r>
      <w:r>
        <w:tab/>
        <w:t xml:space="preserve">IAB mobile termination </w:t>
      </w:r>
    </w:p>
    <w:p w14:paraId="039F17CE" w14:textId="77777777" w:rsidR="00A9147D" w:rsidRDefault="00000000">
      <w:pPr>
        <w:pStyle w:val="EW"/>
      </w:pPr>
      <w:r>
        <w:t>IE</w:t>
      </w:r>
      <w:r>
        <w:tab/>
        <w:t>Information element</w:t>
      </w:r>
    </w:p>
    <w:p w14:paraId="0960F2B6" w14:textId="77777777" w:rsidR="00A9147D" w:rsidRDefault="00000000">
      <w:pPr>
        <w:pStyle w:val="EW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NCR-MT             </w:t>
      </w:r>
      <w:r>
        <w:rPr>
          <w:color w:val="FF0000"/>
        </w:rPr>
        <w:t>Network controlled repeater</w:t>
      </w:r>
      <w:r>
        <w:rPr>
          <w:rFonts w:hint="eastAsia"/>
          <w:color w:val="FF0000"/>
          <w:lang w:eastAsia="zh-CN"/>
        </w:rPr>
        <w:t xml:space="preserve"> - </w:t>
      </w:r>
      <w:r>
        <w:rPr>
          <w:color w:val="FF0000"/>
        </w:rPr>
        <w:t>mobile termination</w:t>
      </w:r>
    </w:p>
    <w:p w14:paraId="674BDE6C" w14:textId="77777777" w:rsidR="00A9147D" w:rsidRDefault="00000000">
      <w:pPr>
        <w:pStyle w:val="EW"/>
      </w:pPr>
      <w:r>
        <w:t>PBCH</w:t>
      </w:r>
      <w:r>
        <w:tab/>
        <w:t>Physical broadcast channel</w:t>
      </w:r>
    </w:p>
    <w:p w14:paraId="64A0B8D0" w14:textId="77777777" w:rsidR="00A9147D" w:rsidRDefault="00000000">
      <w:pPr>
        <w:jc w:val="center"/>
        <w:rPr>
          <w:color w:val="0070C0"/>
        </w:rPr>
      </w:pPr>
      <w:r>
        <w:rPr>
          <w:b/>
          <w:bCs/>
          <w:color w:val="0070C0"/>
        </w:rPr>
        <w:t>&lt; Unchanged text omitted &gt;</w:t>
      </w:r>
    </w:p>
    <w:p w14:paraId="04DEECC4" w14:textId="77777777" w:rsidR="00A9147D" w:rsidRDefault="00000000">
      <w:pPr>
        <w:rPr>
          <w:b/>
          <w:bCs/>
        </w:rPr>
      </w:pPr>
      <w:r>
        <w:rPr>
          <w:b/>
          <w:bCs/>
        </w:rPr>
        <w:t>4.1</w:t>
      </w:r>
      <w:r>
        <w:rPr>
          <w:b/>
          <w:bCs/>
        </w:rPr>
        <w:tab/>
        <w:t>General</w:t>
      </w:r>
    </w:p>
    <w:p w14:paraId="772DCF93" w14:textId="77777777" w:rsidR="00A9147D" w:rsidRDefault="00000000">
      <w:r>
        <w:t xml:space="preserve">Throughout this specification, unless otherwise noted, the size of various fields in the time domain is expressed in time units </w:t>
      </w:r>
      <w:r>
        <w:rPr>
          <w:position w:val="-10"/>
        </w:rPr>
        <w:object w:dxaOrig="1573" w:dyaOrig="332" w14:anchorId="076F8370">
          <v:shape id="_x0000_i1031" type="#_x0000_t75" style="width:78.5pt;height:16.5pt" o:ole="">
            <v:imagedata r:id="rId8" o:title=""/>
          </v:shape>
          <o:OLEObject Type="Embed" ProgID="Equation.3" ShapeID="_x0000_i1031" DrawAspect="Content" ObjectID="_1758374902" r:id="rId20"/>
        </w:object>
      </w:r>
      <w:r>
        <w:t xml:space="preserve"> where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=480∙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Hz and </w:t>
      </w:r>
      <w:r>
        <w:rPr>
          <w:position w:val="-10"/>
        </w:rPr>
        <w:object w:dxaOrig="930" w:dyaOrig="332" w14:anchorId="5C120274">
          <v:shape id="_x0000_i1032" type="#_x0000_t75" style="width:46.5pt;height:16.5pt" o:ole="">
            <v:imagedata r:id="rId10" o:title=""/>
          </v:shape>
          <o:OLEObject Type="Embed" ProgID="Equation.3" ShapeID="_x0000_i1032" DrawAspect="Content" ObjectID="_1758374903" r:id="rId21"/>
        </w:object>
      </w:r>
      <w:r>
        <w:t xml:space="preserve">. The constant </w:t>
      </w:r>
      <w:r>
        <w:rPr>
          <w:position w:val="-10"/>
        </w:rPr>
        <w:object w:dxaOrig="1263" w:dyaOrig="299" w14:anchorId="39F500C5">
          <v:shape id="_x0000_i1033" type="#_x0000_t75" style="width:63pt;height:15pt" o:ole="">
            <v:imagedata r:id="rId12" o:title=""/>
          </v:shape>
          <o:OLEObject Type="Embed" ProgID="Equation.3" ShapeID="_x0000_i1033" DrawAspect="Content" ObjectID="_1758374904" r:id="rId22"/>
        </w:object>
      </w:r>
      <w:r>
        <w:t xml:space="preserve"> where </w:t>
      </w:r>
      <w:r>
        <w:rPr>
          <w:position w:val="-12"/>
        </w:rPr>
        <w:object w:dxaOrig="1684" w:dyaOrig="332" w14:anchorId="072B5D3C">
          <v:shape id="_x0000_i1034" type="#_x0000_t75" style="width:84pt;height:16.5pt" o:ole="">
            <v:imagedata r:id="rId14" o:title=""/>
          </v:shape>
          <o:OLEObject Type="Embed" ProgID="Equation.3" ShapeID="_x0000_i1034" DrawAspect="Content" ObjectID="_1758374905" r:id="rId23"/>
        </w:object>
      </w:r>
      <w:r>
        <w:t xml:space="preserve">, </w:t>
      </w:r>
      <w:r>
        <w:rPr>
          <w:position w:val="-10"/>
        </w:rPr>
        <w:object w:dxaOrig="1495" w:dyaOrig="354" w14:anchorId="25A48E35">
          <v:shape id="_x0000_i1035" type="#_x0000_t75" style="width:75pt;height:17.5pt" o:ole="">
            <v:imagedata r:id="rId16" o:title=""/>
          </v:shape>
          <o:OLEObject Type="Embed" ProgID="Equation.3" ShapeID="_x0000_i1035" DrawAspect="Content" ObjectID="_1758374906" r:id="rId24"/>
        </w:object>
      </w:r>
      <w:r>
        <w:t xml:space="preserve"> and </w:t>
      </w:r>
      <w:r>
        <w:rPr>
          <w:position w:val="-12"/>
        </w:rPr>
        <w:object w:dxaOrig="1119" w:dyaOrig="332" w14:anchorId="34F03EB4">
          <v:shape id="_x0000_i1036" type="#_x0000_t75" style="width:56pt;height:16.5pt" o:ole="">
            <v:imagedata r:id="rId18" o:title=""/>
          </v:shape>
          <o:OLEObject Type="Embed" ProgID="Equation.3" ShapeID="_x0000_i1036" DrawAspect="Content" ObjectID="_1758374907" r:id="rId25"/>
        </w:object>
      </w:r>
      <w:r>
        <w:t>.</w:t>
      </w:r>
    </w:p>
    <w:p w14:paraId="33813955" w14:textId="77777777" w:rsidR="00A9147D" w:rsidRDefault="00000000">
      <w:pPr>
        <w:spacing w:after="0"/>
      </w:pPr>
      <w:r>
        <w:t>Throughout this specification, unless otherwise noted, statements using the term "UE" in clauses 4, 5, 6, or 7 are equally applicable to the IAB-MT part of an IAB-node</w:t>
      </w:r>
      <w:r>
        <w:rPr>
          <w:rFonts w:hint="eastAsia"/>
          <w:color w:val="FF0000"/>
        </w:rPr>
        <w:t xml:space="preserve"> and the NCR-MT</w:t>
      </w:r>
      <w:r>
        <w:rPr>
          <w:color w:val="FF0000"/>
        </w:rPr>
        <w:t xml:space="preserve"> part of an NCR node</w:t>
      </w:r>
      <w:r>
        <w:t xml:space="preserve">. </w:t>
      </w:r>
    </w:p>
    <w:p w14:paraId="7F814053" w14:textId="77777777" w:rsidR="00A9147D" w:rsidRDefault="00000000">
      <w:pPr>
        <w:jc w:val="center"/>
        <w:rPr>
          <w:b/>
          <w:bCs/>
          <w:color w:val="0070C0"/>
        </w:rPr>
      </w:pPr>
      <w:r>
        <w:rPr>
          <w:b/>
          <w:bCs/>
          <w:color w:val="0070C0"/>
        </w:rPr>
        <w:t>&lt; Unchanged text omitted &gt;</w:t>
      </w:r>
    </w:p>
    <w:p w14:paraId="1C8DB72D" w14:textId="77777777" w:rsidR="00A9147D" w:rsidRDefault="00000000">
      <w:pPr>
        <w:rPr>
          <w:rFonts w:ascii="Times New Roman" w:eastAsia="DengXian" w:hAnsi="Times New Roman"/>
          <w:color w:val="0070C0"/>
          <w:szCs w:val="20"/>
          <w:lang w:val="en-US"/>
        </w:rPr>
      </w:pP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--------------------------------</w:t>
      </w:r>
      <w:r>
        <w:rPr>
          <w:rFonts w:ascii="Times New Roman" w:eastAsia="SimSun" w:hAnsi="Times New Roman" w:hint="eastAsia"/>
          <w:color w:val="0070C0"/>
          <w:kern w:val="2"/>
          <w:lang w:val="en-US"/>
        </w:rPr>
        <w:t>----</w:t>
      </w:r>
      <w:r>
        <w:rPr>
          <w:rFonts w:ascii="Times New Roman" w:eastAsia="SimSun" w:hAnsi="Times New Roman"/>
          <w:color w:val="0070C0"/>
          <w:kern w:val="2"/>
          <w:lang w:val="en-US"/>
        </w:rPr>
        <w:t>-</w:t>
      </w:r>
      <w:r>
        <w:rPr>
          <w:rFonts w:ascii="Times New Roman" w:eastAsia="SimSun" w:hAnsi="Times New Roman" w:hint="eastAsia"/>
          <w:color w:val="0070C0"/>
          <w:kern w:val="2"/>
          <w:lang w:val="en-US"/>
        </w:rPr>
        <w:t>--</w:t>
      </w:r>
      <w:r>
        <w:rPr>
          <w:rFonts w:ascii="Times New Roman" w:eastAsia="SimSu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</w:t>
      </w:r>
      <w:r>
        <w:rPr>
          <w:rFonts w:ascii="Times New Roman" w:eastAsia="DengXian" w:hAnsi="Times New Roman"/>
          <w:color w:val="0070C0"/>
          <w:kern w:val="2"/>
          <w:lang w:val="en-US"/>
        </w:rPr>
        <w:t>----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End of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 xml:space="preserve"> </w:t>
      </w:r>
      <w:r>
        <w:rPr>
          <w:rFonts w:ascii="Times New Roman" w:eastAsia="DengXian" w:hAnsi="Times New Roman"/>
          <w:color w:val="0070C0"/>
          <w:kern w:val="2"/>
          <w:lang w:val="en-US"/>
        </w:rPr>
        <w:t>TP#1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</w:t>
      </w:r>
      <w:r>
        <w:rPr>
          <w:rFonts w:ascii="Times New Roman" w:eastAsia="SimSun" w:hAnsi="Times New Roman" w:hint="eastAsia"/>
          <w:color w:val="0070C0"/>
          <w:kern w:val="2"/>
          <w:lang w:val="en-US"/>
        </w:rPr>
        <w:t>-----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</w:t>
      </w:r>
    </w:p>
    <w:p w14:paraId="03B8F91E" w14:textId="77777777" w:rsidR="00A9147D" w:rsidRDefault="00A9147D">
      <w:pPr>
        <w:rPr>
          <w:rFonts w:eastAsia="Batang" w:cs="Times"/>
          <w:b/>
          <w:bCs/>
          <w:szCs w:val="20"/>
          <w:lang w:val="en-US"/>
        </w:rPr>
      </w:pPr>
    </w:p>
    <w:p w14:paraId="6A39971D" w14:textId="77777777" w:rsidR="00A9147D" w:rsidRDefault="00000000">
      <w:pPr>
        <w:rPr>
          <w:rFonts w:eastAsia="Batang" w:cs="Times"/>
          <w:b/>
          <w:bCs/>
          <w:szCs w:val="20"/>
        </w:rPr>
      </w:pPr>
      <w:r>
        <w:rPr>
          <w:rFonts w:eastAsia="Batang" w:cs="Times"/>
          <w:b/>
          <w:bCs/>
          <w:i/>
          <w:iCs/>
          <w:szCs w:val="20"/>
          <w:highlight w:val="yellow"/>
        </w:rPr>
        <w:t>Proposal 2</w:t>
      </w:r>
      <w:r>
        <w:rPr>
          <w:rFonts w:eastAsia="Batang" w:cs="Times"/>
          <w:b/>
          <w:bCs/>
          <w:szCs w:val="20"/>
          <w:highlight w:val="yellow"/>
        </w:rPr>
        <w:t>:</w:t>
      </w:r>
      <w:r>
        <w:rPr>
          <w:rFonts w:eastAsia="Batang" w:cs="Times"/>
          <w:b/>
          <w:bCs/>
          <w:szCs w:val="20"/>
        </w:rPr>
        <w:t xml:space="preserve"> Accept following TP.</w:t>
      </w:r>
    </w:p>
    <w:p w14:paraId="3E671B9C" w14:textId="77777777" w:rsidR="00A9147D" w:rsidRDefault="00000000">
      <w:pPr>
        <w:spacing w:beforeLines="50" w:before="120" w:afterLines="50"/>
        <w:rPr>
          <w:rFonts w:ascii="Times New Roman" w:eastAsia="DengXian" w:hAnsi="Times New Roman"/>
          <w:color w:val="0070C0"/>
          <w:kern w:val="2"/>
          <w:lang w:val="en-US"/>
        </w:rPr>
      </w:pP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 xml:space="preserve">----------Start </w:t>
      </w:r>
      <w:r>
        <w:rPr>
          <w:rFonts w:ascii="Times New Roman" w:eastAsia="DengXian" w:hAnsi="Times New Roman"/>
          <w:color w:val="0070C0"/>
          <w:kern w:val="2"/>
          <w:lang w:val="en-US"/>
        </w:rPr>
        <w:t xml:space="preserve">of TP#2 for TS 38.214 Clause 3.3 &amp; Clause 4 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</w:t>
      </w:r>
    </w:p>
    <w:p w14:paraId="149B14FA" w14:textId="77777777" w:rsidR="00A9147D" w:rsidRDefault="00000000">
      <w:pPr>
        <w:jc w:val="center"/>
        <w:rPr>
          <w:color w:val="0070C0"/>
        </w:rPr>
      </w:pPr>
      <w:r>
        <w:rPr>
          <w:b/>
          <w:bCs/>
          <w:color w:val="0070C0"/>
        </w:rPr>
        <w:t>&lt; Unchanged text omitted &gt;</w:t>
      </w:r>
    </w:p>
    <w:p w14:paraId="1C80847A" w14:textId="77777777" w:rsidR="00A9147D" w:rsidRDefault="00A9147D">
      <w:pPr>
        <w:rPr>
          <w:b/>
          <w:bCs/>
        </w:rPr>
      </w:pPr>
    </w:p>
    <w:p w14:paraId="09670501" w14:textId="77777777" w:rsidR="00A9147D" w:rsidRDefault="00000000">
      <w:r>
        <w:rPr>
          <w:b/>
          <w:bCs/>
        </w:rPr>
        <w:t>3.3</w:t>
      </w:r>
      <w:r>
        <w:rPr>
          <w:b/>
          <w:bCs/>
        </w:rPr>
        <w:tab/>
        <w:t>Abbreviations</w:t>
      </w:r>
    </w:p>
    <w:p w14:paraId="5037B22E" w14:textId="77777777" w:rsidR="00A9147D" w:rsidRDefault="00000000">
      <w:pPr>
        <w:pStyle w:val="EW"/>
      </w:pPr>
      <w:r>
        <w:t>IAB-MT</w:t>
      </w:r>
      <w:r>
        <w:tab/>
        <w:t xml:space="preserve">Integrated Access and Backhaul – Mobile Terminal </w:t>
      </w:r>
    </w:p>
    <w:p w14:paraId="03BB7F1B" w14:textId="77777777" w:rsidR="00A9147D" w:rsidRDefault="00000000">
      <w:pPr>
        <w:pStyle w:val="EW"/>
      </w:pPr>
      <w:r>
        <w:t>L1-RSRP</w:t>
      </w:r>
      <w:r>
        <w:tab/>
        <w:t>Layer 1 reference signal received power</w:t>
      </w:r>
    </w:p>
    <w:p w14:paraId="4B07F3F8" w14:textId="77777777" w:rsidR="00A9147D" w:rsidRDefault="00000000">
      <w:pPr>
        <w:pStyle w:val="EW"/>
      </w:pPr>
      <w:r>
        <w:t>LI</w:t>
      </w:r>
      <w:r>
        <w:tab/>
        <w:t>Layer Indicator</w:t>
      </w:r>
    </w:p>
    <w:p w14:paraId="0B273DAD" w14:textId="77777777" w:rsidR="00A9147D" w:rsidRDefault="00000000">
      <w:pPr>
        <w:pStyle w:val="EW"/>
      </w:pPr>
      <w:r>
        <w:t>MCS</w:t>
      </w:r>
      <w:r>
        <w:tab/>
        <w:t>Modulation and coding scheme</w:t>
      </w:r>
    </w:p>
    <w:p w14:paraId="7B75BB62" w14:textId="77777777" w:rsidR="00A9147D" w:rsidRDefault="00000000">
      <w:pPr>
        <w:pStyle w:val="EW"/>
      </w:pPr>
      <w:r>
        <w:rPr>
          <w:rFonts w:hint="eastAsia"/>
          <w:color w:val="FF0000"/>
          <w:lang w:eastAsia="zh-CN"/>
        </w:rPr>
        <w:t xml:space="preserve">NCR-MT             </w:t>
      </w:r>
      <w:r>
        <w:rPr>
          <w:color w:val="FF0000"/>
        </w:rPr>
        <w:t>Network controlled repeater</w:t>
      </w:r>
      <w:r>
        <w:rPr>
          <w:rFonts w:hint="eastAsia"/>
          <w:color w:val="FF0000"/>
          <w:lang w:eastAsia="zh-CN"/>
        </w:rPr>
        <w:t xml:space="preserve"> - </w:t>
      </w:r>
      <w:r>
        <w:rPr>
          <w:color w:val="FF0000"/>
        </w:rPr>
        <w:t>mobile termination</w:t>
      </w:r>
    </w:p>
    <w:p w14:paraId="6EA29EE0" w14:textId="77777777" w:rsidR="00A9147D" w:rsidRDefault="00000000">
      <w:pPr>
        <w:pStyle w:val="EW"/>
        <w:rPr>
          <w:b/>
          <w:bCs/>
          <w:lang w:eastAsia="zh-CN"/>
        </w:rPr>
      </w:pPr>
      <w:r>
        <w:t>PDCCH</w:t>
      </w:r>
      <w:r>
        <w:tab/>
        <w:t>Physical downlink control channel</w:t>
      </w:r>
    </w:p>
    <w:p w14:paraId="6FB5F660" w14:textId="77777777" w:rsidR="00A9147D" w:rsidRDefault="00A9147D">
      <w:pPr>
        <w:jc w:val="center"/>
        <w:rPr>
          <w:b/>
          <w:bCs/>
        </w:rPr>
      </w:pPr>
    </w:p>
    <w:p w14:paraId="32B9BC95" w14:textId="77777777" w:rsidR="00A9147D" w:rsidRDefault="00000000">
      <w:pPr>
        <w:jc w:val="center"/>
        <w:rPr>
          <w:color w:val="0070C0"/>
        </w:rPr>
      </w:pPr>
      <w:r>
        <w:rPr>
          <w:b/>
          <w:bCs/>
          <w:color w:val="0070C0"/>
        </w:rPr>
        <w:t>&lt; Unchanged text omitted &gt;</w:t>
      </w:r>
    </w:p>
    <w:p w14:paraId="1A8475C6" w14:textId="77777777" w:rsidR="00A9147D" w:rsidRDefault="00000000">
      <w:pPr>
        <w:rPr>
          <w:b/>
          <w:bCs/>
        </w:rPr>
      </w:pPr>
      <w:r>
        <w:rPr>
          <w:b/>
          <w:bCs/>
        </w:rPr>
        <w:t>4</w:t>
      </w:r>
      <w:r>
        <w:rPr>
          <w:b/>
          <w:bCs/>
        </w:rPr>
        <w:tab/>
        <w:t xml:space="preserve">Power control </w:t>
      </w:r>
    </w:p>
    <w:p w14:paraId="66A6F801" w14:textId="77777777" w:rsidR="00A9147D" w:rsidRDefault="00000000">
      <w:pPr>
        <w:rPr>
          <w:color w:val="000000"/>
        </w:rPr>
      </w:pPr>
      <w:r>
        <w:lastRenderedPageBreak/>
        <w:t>Throughout this specification, unless otherwise noted, statements using the term "UE" in clauses 4, 5, or 6 are equally applicable to the IAB-MT part of an IAB node</w:t>
      </w:r>
      <w:r>
        <w:rPr>
          <w:rFonts w:hint="eastAsia"/>
          <w:color w:val="FF0000"/>
        </w:rPr>
        <w:t xml:space="preserve"> and the NCR-MT</w:t>
      </w:r>
      <w:r>
        <w:rPr>
          <w:color w:val="FF0000"/>
        </w:rPr>
        <w:t xml:space="preserve"> part of an NCR node</w:t>
      </w:r>
      <w:r>
        <w:t>.</w:t>
      </w:r>
    </w:p>
    <w:p w14:paraId="2E853EB8" w14:textId="77777777" w:rsidR="00A9147D" w:rsidRDefault="00000000">
      <w:pPr>
        <w:jc w:val="center"/>
        <w:rPr>
          <w:color w:val="0070C0"/>
          <w:lang w:val="en-US"/>
        </w:rPr>
      </w:pPr>
      <w:r>
        <w:rPr>
          <w:b/>
          <w:bCs/>
          <w:color w:val="0070C0"/>
        </w:rPr>
        <w:t>&lt; Unchanged text omitted &gt;</w:t>
      </w:r>
    </w:p>
    <w:p w14:paraId="48C3D217" w14:textId="77777777" w:rsidR="00A9147D" w:rsidRDefault="00000000">
      <w:pPr>
        <w:rPr>
          <w:rFonts w:ascii="Times New Roman" w:eastAsia="DengXian" w:hAnsi="Times New Roman"/>
          <w:color w:val="0070C0"/>
          <w:kern w:val="2"/>
          <w:lang w:val="en-US"/>
        </w:rPr>
      </w:pP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--------------------------------</w:t>
      </w:r>
      <w:r>
        <w:rPr>
          <w:rFonts w:ascii="Times New Roman" w:eastAsia="SimSun" w:hAnsi="Times New Roman" w:hint="eastAsia"/>
          <w:color w:val="0070C0"/>
          <w:kern w:val="2"/>
          <w:lang w:val="en-US"/>
        </w:rPr>
        <w:t>----</w:t>
      </w:r>
      <w:r>
        <w:rPr>
          <w:rFonts w:ascii="Times New Roman" w:eastAsia="SimSun" w:hAnsi="Times New Roman"/>
          <w:color w:val="0070C0"/>
          <w:kern w:val="2"/>
          <w:lang w:val="en-US"/>
        </w:rPr>
        <w:t>-</w:t>
      </w:r>
      <w:r>
        <w:rPr>
          <w:rFonts w:ascii="Times New Roman" w:eastAsia="SimSun" w:hAnsi="Times New Roman" w:hint="eastAsia"/>
          <w:color w:val="0070C0"/>
          <w:kern w:val="2"/>
          <w:lang w:val="en-US"/>
        </w:rPr>
        <w:t>--</w:t>
      </w:r>
      <w:r>
        <w:rPr>
          <w:rFonts w:ascii="Times New Roman" w:eastAsia="SimSu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</w:t>
      </w:r>
      <w:r>
        <w:rPr>
          <w:rFonts w:ascii="Times New Roman" w:eastAsia="DengXian" w:hAnsi="Times New Roman"/>
          <w:color w:val="0070C0"/>
          <w:kern w:val="2"/>
          <w:lang w:val="en-US"/>
        </w:rPr>
        <w:t>----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End of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 xml:space="preserve"> </w:t>
      </w:r>
      <w:r>
        <w:rPr>
          <w:rFonts w:ascii="Times New Roman" w:eastAsia="DengXian" w:hAnsi="Times New Roman"/>
          <w:color w:val="0070C0"/>
          <w:kern w:val="2"/>
          <w:lang w:val="en-US"/>
        </w:rPr>
        <w:t>TP#2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</w:t>
      </w:r>
      <w:r>
        <w:rPr>
          <w:rFonts w:ascii="Times New Roman" w:eastAsia="SimSun" w:hAnsi="Times New Roman" w:hint="eastAsia"/>
          <w:color w:val="0070C0"/>
          <w:kern w:val="2"/>
          <w:lang w:val="en-US"/>
        </w:rPr>
        <w:t>-----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</w:t>
      </w:r>
      <w:r>
        <w:rPr>
          <w:rFonts w:ascii="Times New Roman" w:eastAsia="DengXian" w:hAnsi="Times New Roman"/>
          <w:color w:val="0070C0"/>
          <w:kern w:val="2"/>
          <w:lang w:val="en-US"/>
        </w:rPr>
        <w:t>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</w:t>
      </w:r>
      <w:r>
        <w:rPr>
          <w:rFonts w:ascii="Times New Roman" w:eastAsia="DengXian" w:hAnsi="Times New Roman"/>
          <w:color w:val="0070C0"/>
          <w:kern w:val="2"/>
          <w:lang w:val="en-US"/>
        </w:rPr>
        <w:t>-----</w:t>
      </w:r>
      <w:r>
        <w:rPr>
          <w:rFonts w:ascii="Times New Roman" w:eastAsia="DengXian" w:hAnsi="Times New Roman" w:hint="eastAsia"/>
          <w:color w:val="0070C0"/>
          <w:kern w:val="2"/>
          <w:lang w:val="en-US"/>
        </w:rPr>
        <w:t>------------------------</w:t>
      </w:r>
    </w:p>
    <w:p w14:paraId="1B5F8D81" w14:textId="77777777" w:rsidR="00A9147D" w:rsidRDefault="00A9147D">
      <w:pPr>
        <w:rPr>
          <w:rFonts w:ascii="Times New Roman" w:eastAsia="DengXian" w:hAnsi="Times New Roman"/>
          <w:color w:val="0070C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97"/>
      </w:tblGrid>
      <w:tr w:rsidR="00A9147D" w14:paraId="3103E30F" w14:textId="77777777">
        <w:trPr>
          <w:trHeight w:val="397"/>
        </w:trPr>
        <w:tc>
          <w:tcPr>
            <w:tcW w:w="1809" w:type="dxa"/>
            <w:shd w:val="clear" w:color="auto" w:fill="92D050"/>
            <w:vAlign w:val="center"/>
          </w:tcPr>
          <w:p w14:paraId="3BC45CD7" w14:textId="77777777" w:rsidR="00A9147D" w:rsidRDefault="00000000">
            <w:pPr>
              <w:widowControl/>
              <w:spacing w:after="160" w:line="240" w:lineRule="exact"/>
              <w:jc w:val="center"/>
              <w:rPr>
                <w:rFonts w:eastAsia="DengXian" w:cs="Times New Roman"/>
                <w:b/>
                <w:bCs/>
                <w:sz w:val="18"/>
              </w:rPr>
            </w:pPr>
            <w:r>
              <w:rPr>
                <w:rFonts w:eastAsia="DengXian" w:cs="Times New Roman" w:hint="eastAsia"/>
                <w:b/>
                <w:bCs/>
                <w:sz w:val="18"/>
              </w:rPr>
              <w:t>C</w:t>
            </w:r>
            <w:r>
              <w:rPr>
                <w:rFonts w:eastAsia="DengXian" w:cs="Times New Roman"/>
                <w:b/>
                <w:bCs/>
                <w:sz w:val="18"/>
              </w:rPr>
              <w:t>ompany</w:t>
            </w:r>
          </w:p>
        </w:tc>
        <w:tc>
          <w:tcPr>
            <w:tcW w:w="7797" w:type="dxa"/>
            <w:shd w:val="clear" w:color="auto" w:fill="92D050"/>
            <w:vAlign w:val="center"/>
          </w:tcPr>
          <w:p w14:paraId="772A68D0" w14:textId="77777777" w:rsidR="00A9147D" w:rsidRDefault="00000000">
            <w:pPr>
              <w:widowControl/>
              <w:spacing w:after="160" w:line="240" w:lineRule="exact"/>
              <w:jc w:val="center"/>
              <w:rPr>
                <w:rFonts w:eastAsia="DengXian" w:cs="Times New Roman"/>
                <w:b/>
                <w:bCs/>
                <w:sz w:val="18"/>
              </w:rPr>
            </w:pPr>
            <w:r>
              <w:rPr>
                <w:rFonts w:eastAsia="DengXian" w:cs="Times New Roman"/>
                <w:b/>
                <w:bCs/>
                <w:sz w:val="18"/>
              </w:rPr>
              <w:t>Comments</w:t>
            </w:r>
          </w:p>
        </w:tc>
      </w:tr>
      <w:tr w:rsidR="00A9147D" w14:paraId="1CC4415D" w14:textId="77777777">
        <w:tc>
          <w:tcPr>
            <w:tcW w:w="1809" w:type="dxa"/>
            <w:shd w:val="clear" w:color="auto" w:fill="auto"/>
          </w:tcPr>
          <w:p w14:paraId="7D2A74B6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 w:hint="eastAsia"/>
                <w:sz w:val="18"/>
              </w:rPr>
              <w:t>Huawei</w:t>
            </w:r>
            <w:r>
              <w:rPr>
                <w:rFonts w:eastAsia="DengXian" w:cs="Times New Roman"/>
                <w:sz w:val="18"/>
              </w:rPr>
              <w:t>, HiSilicon</w:t>
            </w:r>
          </w:p>
        </w:tc>
        <w:tc>
          <w:tcPr>
            <w:tcW w:w="7797" w:type="dxa"/>
            <w:shd w:val="clear" w:color="auto" w:fill="auto"/>
          </w:tcPr>
          <w:p w14:paraId="60CC6825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 w:hint="eastAsia"/>
                <w:sz w:val="18"/>
              </w:rPr>
              <w:t>S</w:t>
            </w:r>
            <w:r>
              <w:rPr>
                <w:rFonts w:eastAsia="DengXian" w:cs="Times New Roman"/>
                <w:sz w:val="18"/>
              </w:rPr>
              <w:t>upport</w:t>
            </w:r>
          </w:p>
        </w:tc>
      </w:tr>
      <w:tr w:rsidR="00A9147D" w14:paraId="4F9E5459" w14:textId="77777777">
        <w:tc>
          <w:tcPr>
            <w:tcW w:w="1809" w:type="dxa"/>
            <w:shd w:val="clear" w:color="auto" w:fill="auto"/>
          </w:tcPr>
          <w:p w14:paraId="300C522C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/>
                <w:sz w:val="18"/>
              </w:rPr>
              <w:t>C</w:t>
            </w:r>
            <w:r>
              <w:rPr>
                <w:rFonts w:eastAsia="DengXian" w:cs="Times New Roman" w:hint="eastAsia"/>
                <w:sz w:val="18"/>
              </w:rPr>
              <w:t>at</w:t>
            </w:r>
            <w:r>
              <w:rPr>
                <w:rFonts w:eastAsia="DengXian" w:cs="Times New Roman"/>
                <w:sz w:val="18"/>
              </w:rPr>
              <w:t>t</w:t>
            </w:r>
          </w:p>
        </w:tc>
        <w:tc>
          <w:tcPr>
            <w:tcW w:w="7797" w:type="dxa"/>
            <w:shd w:val="clear" w:color="auto" w:fill="auto"/>
          </w:tcPr>
          <w:p w14:paraId="63B91D1A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/>
                <w:sz w:val="18"/>
              </w:rPr>
              <w:t>No need to change</w:t>
            </w:r>
          </w:p>
        </w:tc>
      </w:tr>
      <w:tr w:rsidR="00A9147D" w14:paraId="1FE71DAC" w14:textId="77777777">
        <w:tc>
          <w:tcPr>
            <w:tcW w:w="1809" w:type="dxa"/>
            <w:shd w:val="clear" w:color="auto" w:fill="auto"/>
          </w:tcPr>
          <w:p w14:paraId="0816B560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 w:hint="eastAsia"/>
                <w:sz w:val="18"/>
              </w:rPr>
              <w:t>L</w:t>
            </w:r>
            <w:r>
              <w:rPr>
                <w:rFonts w:eastAsia="DengXian" w:cs="Times New Roman"/>
                <w:sz w:val="18"/>
              </w:rPr>
              <w:t>G</w:t>
            </w:r>
          </w:p>
        </w:tc>
        <w:tc>
          <w:tcPr>
            <w:tcW w:w="7797" w:type="dxa"/>
            <w:shd w:val="clear" w:color="auto" w:fill="auto"/>
          </w:tcPr>
          <w:p w14:paraId="6A38CB96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 w:hint="eastAsia"/>
                <w:sz w:val="18"/>
              </w:rPr>
              <w:t>S</w:t>
            </w:r>
            <w:r>
              <w:rPr>
                <w:rFonts w:eastAsia="DengXian" w:cs="Times New Roman"/>
                <w:sz w:val="18"/>
              </w:rPr>
              <w:t>upport.</w:t>
            </w:r>
          </w:p>
        </w:tc>
      </w:tr>
      <w:tr w:rsidR="00A9147D" w14:paraId="2EFD403F" w14:textId="77777777">
        <w:tc>
          <w:tcPr>
            <w:tcW w:w="1809" w:type="dxa"/>
            <w:shd w:val="clear" w:color="auto" w:fill="auto"/>
          </w:tcPr>
          <w:p w14:paraId="006A23B5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/>
                <w:sz w:val="18"/>
              </w:rPr>
              <w:t>Ericsson</w:t>
            </w:r>
          </w:p>
        </w:tc>
        <w:tc>
          <w:tcPr>
            <w:tcW w:w="7797" w:type="dxa"/>
            <w:shd w:val="clear" w:color="auto" w:fill="auto"/>
          </w:tcPr>
          <w:p w14:paraId="02E89087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/>
                <w:sz w:val="18"/>
              </w:rPr>
              <w:t>Support.</w:t>
            </w:r>
          </w:p>
        </w:tc>
      </w:tr>
      <w:tr w:rsidR="00A9147D" w14:paraId="453796D2" w14:textId="77777777">
        <w:tc>
          <w:tcPr>
            <w:tcW w:w="1809" w:type="dxa"/>
            <w:shd w:val="clear" w:color="auto" w:fill="auto"/>
          </w:tcPr>
          <w:p w14:paraId="44966E83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  <w:lang w:val="en-US"/>
              </w:rPr>
            </w:pPr>
            <w:r>
              <w:rPr>
                <w:rFonts w:eastAsia="DengXian" w:cs="Times New Roman" w:hint="eastAsia"/>
                <w:sz w:val="18"/>
                <w:lang w:val="en-US"/>
              </w:rPr>
              <w:t>ZTE</w:t>
            </w:r>
          </w:p>
        </w:tc>
        <w:tc>
          <w:tcPr>
            <w:tcW w:w="7797" w:type="dxa"/>
            <w:shd w:val="clear" w:color="auto" w:fill="auto"/>
          </w:tcPr>
          <w:p w14:paraId="5A1A7CEE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  <w:lang w:val="en-US"/>
              </w:rPr>
            </w:pPr>
            <w:r>
              <w:rPr>
                <w:rFonts w:eastAsia="DengXian" w:cs="Times New Roman" w:hint="eastAsia"/>
                <w:sz w:val="18"/>
                <w:lang w:val="en-US"/>
              </w:rPr>
              <w:t>Support</w:t>
            </w:r>
          </w:p>
        </w:tc>
      </w:tr>
    </w:tbl>
    <w:p w14:paraId="00A1C066" w14:textId="77777777" w:rsidR="00A9147D" w:rsidRDefault="00A9147D">
      <w:pPr>
        <w:rPr>
          <w:lang w:val="en-US"/>
        </w:rPr>
      </w:pPr>
    </w:p>
    <w:p w14:paraId="585EAED1" w14:textId="77777777" w:rsidR="00A9147D" w:rsidRDefault="00000000">
      <w:pPr>
        <w:pStyle w:val="2"/>
        <w:numPr>
          <w:ilvl w:val="1"/>
          <w:numId w:val="2"/>
        </w:numPr>
        <w:tabs>
          <w:tab w:val="left" w:pos="360"/>
        </w:tabs>
        <w:spacing w:line="240" w:lineRule="auto"/>
        <w:ind w:left="0" w:firstLine="0"/>
        <w:rPr>
          <w:i w:val="0"/>
          <w:iCs w:val="0"/>
        </w:rPr>
      </w:pPr>
      <w:r>
        <w:rPr>
          <w:i w:val="0"/>
          <w:iCs w:val="0"/>
        </w:rPr>
        <w:t>Clarify the SCS configuration for aperiodic forwarding resources (</w:t>
      </w:r>
      <w:r>
        <w:rPr>
          <w:i w:val="0"/>
          <w:iCs w:val="0"/>
          <w:sz w:val="20"/>
          <w:szCs w:val="22"/>
        </w:rPr>
        <w:t>Samsung</w:t>
      </w:r>
      <w:r>
        <w:rPr>
          <w:i w:val="0"/>
          <w:iCs w:val="0"/>
        </w:rPr>
        <w:t>)</w:t>
      </w:r>
    </w:p>
    <w:p w14:paraId="436576BF" w14:textId="77777777" w:rsidR="00A9147D" w:rsidRDefault="00000000">
      <w:r>
        <w:t xml:space="preserve">In </w:t>
      </w:r>
      <w:r>
        <w:fldChar w:fldCharType="begin"/>
      </w:r>
      <w:r>
        <w:instrText xml:space="preserve"> REF _Ref146992127 \r \h </w:instrText>
      </w:r>
      <w:r>
        <w:fldChar w:fldCharType="separate"/>
      </w:r>
      <w:r>
        <w:t>[3]</w:t>
      </w:r>
      <w:r>
        <w:fldChar w:fldCharType="end"/>
      </w:r>
      <w:r>
        <w:t xml:space="preserve">, one question is raised on the reference SCS for NCR-AperiodicFwdConfig in RAN2 running CR for TS 38.331. It says that now the reference SCS </w:t>
      </w:r>
      <w:r>
        <w:rPr>
          <w:rFonts w:hint="eastAsia"/>
        </w:rPr>
        <w:t>in</w:t>
      </w:r>
      <w:r>
        <w:t xml:space="preserve"> NCR-AperiodicFwdConfig is per list rather than per resource. It is not in line with the agreement achieved in RAN1#112.</w:t>
      </w:r>
    </w:p>
    <w:p w14:paraId="26895521" w14:textId="77777777" w:rsidR="00A9147D" w:rsidRDefault="00000000">
      <w:r>
        <w:t xml:space="preserve">The FL thinks the current description on the reference SCS </w:t>
      </w:r>
      <w:r>
        <w:rPr>
          <w:rFonts w:hint="eastAsia"/>
        </w:rPr>
        <w:t>in</w:t>
      </w:r>
      <w:r>
        <w:t xml:space="preserve"> NCR-AperiodicFwdConfig in RAN2 running CR for TS 38.331 aligns with RAN1 agreements. The reference SCS </w:t>
      </w:r>
      <w:r>
        <w:rPr>
          <w:rFonts w:hint="eastAsia"/>
        </w:rPr>
        <w:t>in</w:t>
      </w:r>
      <w:r>
        <w:t xml:space="preserve"> NCR-AperiodicFwdConfig is per list is what we agreed in RAN1#113 (R1-2306270).</w:t>
      </w:r>
    </w:p>
    <w:p w14:paraId="7D93A15C" w14:textId="77777777" w:rsidR="00A9147D" w:rsidRDefault="00000000">
      <w:r>
        <w:t xml:space="preserve">From a technical point of view, the current specification can work well. The gNB can guarantee a reasonable </w:t>
      </w:r>
      <w:r>
        <w:rPr>
          <w:lang w:val="en-US"/>
        </w:rPr>
        <w:t xml:space="preserve">configuration on the reference SCS for the resources using by Aperiodic beam indications. Hence, </w:t>
      </w:r>
      <w:r>
        <w:t>this issue seems not very essential in this stage. No correction is necessary.</w:t>
      </w:r>
    </w:p>
    <w:p w14:paraId="23A2467A" w14:textId="77777777" w:rsidR="00A9147D" w:rsidRDefault="00A9147D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97"/>
      </w:tblGrid>
      <w:tr w:rsidR="00A9147D" w14:paraId="6D136635" w14:textId="77777777">
        <w:trPr>
          <w:trHeight w:val="397"/>
        </w:trPr>
        <w:tc>
          <w:tcPr>
            <w:tcW w:w="1809" w:type="dxa"/>
            <w:shd w:val="clear" w:color="auto" w:fill="92D050"/>
            <w:vAlign w:val="center"/>
          </w:tcPr>
          <w:p w14:paraId="23767A22" w14:textId="77777777" w:rsidR="00A9147D" w:rsidRDefault="00000000">
            <w:pPr>
              <w:widowControl/>
              <w:spacing w:after="160" w:line="240" w:lineRule="exact"/>
              <w:jc w:val="center"/>
              <w:rPr>
                <w:rFonts w:eastAsia="DengXian" w:cs="Times New Roman"/>
                <w:b/>
                <w:bCs/>
                <w:sz w:val="18"/>
              </w:rPr>
            </w:pPr>
            <w:r>
              <w:rPr>
                <w:rFonts w:eastAsia="DengXian" w:cs="Times New Roman" w:hint="eastAsia"/>
                <w:b/>
                <w:bCs/>
                <w:sz w:val="18"/>
              </w:rPr>
              <w:t>C</w:t>
            </w:r>
            <w:r>
              <w:rPr>
                <w:rFonts w:eastAsia="DengXian" w:cs="Times New Roman"/>
                <w:b/>
                <w:bCs/>
                <w:sz w:val="18"/>
              </w:rPr>
              <w:t>ompany</w:t>
            </w:r>
          </w:p>
        </w:tc>
        <w:tc>
          <w:tcPr>
            <w:tcW w:w="7797" w:type="dxa"/>
            <w:shd w:val="clear" w:color="auto" w:fill="92D050"/>
            <w:vAlign w:val="center"/>
          </w:tcPr>
          <w:p w14:paraId="13382C97" w14:textId="77777777" w:rsidR="00A9147D" w:rsidRDefault="00000000">
            <w:pPr>
              <w:widowControl/>
              <w:spacing w:after="160" w:line="240" w:lineRule="exact"/>
              <w:jc w:val="center"/>
              <w:rPr>
                <w:rFonts w:eastAsia="DengXian" w:cs="Times New Roman"/>
                <w:b/>
                <w:bCs/>
                <w:sz w:val="18"/>
              </w:rPr>
            </w:pPr>
            <w:r>
              <w:rPr>
                <w:rFonts w:eastAsia="DengXian" w:cs="Times New Roman"/>
                <w:b/>
                <w:bCs/>
                <w:sz w:val="18"/>
              </w:rPr>
              <w:t>Comments</w:t>
            </w:r>
          </w:p>
        </w:tc>
      </w:tr>
      <w:tr w:rsidR="00A9147D" w14:paraId="03707037" w14:textId="77777777">
        <w:tc>
          <w:tcPr>
            <w:tcW w:w="1809" w:type="dxa"/>
            <w:shd w:val="clear" w:color="auto" w:fill="auto"/>
          </w:tcPr>
          <w:p w14:paraId="1C44F8CA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 w:hint="eastAsia"/>
                <w:sz w:val="18"/>
              </w:rPr>
              <w:t>H</w:t>
            </w:r>
            <w:r>
              <w:rPr>
                <w:rFonts w:eastAsia="DengXian" w:cs="Times New Roman"/>
                <w:sz w:val="18"/>
              </w:rPr>
              <w:t>uawei, HiSilicon</w:t>
            </w:r>
          </w:p>
        </w:tc>
        <w:tc>
          <w:tcPr>
            <w:tcW w:w="7797" w:type="dxa"/>
            <w:shd w:val="clear" w:color="auto" w:fill="auto"/>
          </w:tcPr>
          <w:p w14:paraId="1D0928D7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 w:hint="eastAsia"/>
                <w:sz w:val="18"/>
              </w:rPr>
              <w:t>A</w:t>
            </w:r>
            <w:r>
              <w:rPr>
                <w:rFonts w:eastAsia="DengXian" w:cs="Times New Roman"/>
                <w:sz w:val="18"/>
              </w:rPr>
              <w:t xml:space="preserve">gree with FL’s assessment. </w:t>
            </w:r>
          </w:p>
        </w:tc>
      </w:tr>
      <w:tr w:rsidR="00A9147D" w14:paraId="6D10CC62" w14:textId="77777777">
        <w:tc>
          <w:tcPr>
            <w:tcW w:w="1809" w:type="dxa"/>
            <w:shd w:val="clear" w:color="auto" w:fill="auto"/>
          </w:tcPr>
          <w:p w14:paraId="0B8D92A0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/>
                <w:sz w:val="18"/>
              </w:rPr>
              <w:t>Catt</w:t>
            </w:r>
          </w:p>
        </w:tc>
        <w:tc>
          <w:tcPr>
            <w:tcW w:w="7797" w:type="dxa"/>
            <w:shd w:val="clear" w:color="auto" w:fill="auto"/>
          </w:tcPr>
          <w:p w14:paraId="513EB0C8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/>
                <w:sz w:val="18"/>
              </w:rPr>
              <w:t>ok</w:t>
            </w:r>
          </w:p>
        </w:tc>
      </w:tr>
      <w:tr w:rsidR="00A9147D" w14:paraId="05805A97" w14:textId="77777777">
        <w:tc>
          <w:tcPr>
            <w:tcW w:w="1809" w:type="dxa"/>
            <w:shd w:val="clear" w:color="auto" w:fill="auto"/>
          </w:tcPr>
          <w:p w14:paraId="387DC2BD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Malgun Gothic" w:cs="Times New Roman"/>
                <w:sz w:val="18"/>
                <w:lang w:eastAsia="ko-KR"/>
              </w:rPr>
            </w:pPr>
            <w:r>
              <w:rPr>
                <w:rFonts w:eastAsia="Malgun Gothic" w:cs="Times New Roman" w:hint="eastAsia"/>
                <w:sz w:val="18"/>
                <w:lang w:eastAsia="ko-KR"/>
              </w:rPr>
              <w:t>L</w:t>
            </w:r>
            <w:r>
              <w:rPr>
                <w:rFonts w:eastAsia="Malgun Gothic" w:cs="Times New Roman"/>
                <w:sz w:val="18"/>
                <w:lang w:eastAsia="ko-KR"/>
              </w:rPr>
              <w:t>G</w:t>
            </w:r>
          </w:p>
        </w:tc>
        <w:tc>
          <w:tcPr>
            <w:tcW w:w="7797" w:type="dxa"/>
            <w:shd w:val="clear" w:color="auto" w:fill="auto"/>
          </w:tcPr>
          <w:p w14:paraId="4BA49F4E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Malgun Gothic" w:cs="Times New Roman"/>
                <w:sz w:val="18"/>
                <w:lang w:eastAsia="ko-KR"/>
              </w:rPr>
            </w:pPr>
            <w:r>
              <w:rPr>
                <w:rFonts w:eastAsia="Malgun Gothic" w:cs="Times New Roman"/>
                <w:sz w:val="18"/>
                <w:lang w:eastAsia="ko-KR"/>
              </w:rPr>
              <w:t>It is our understanding that “The periodicity and reference SCS is configured as part of the RRC signaling for each list of forwarding resource” belongs to the semi-persistent beam indication, not for aperiodic indication, which makes what we have is in line with the agreement.</w:t>
            </w:r>
          </w:p>
        </w:tc>
      </w:tr>
      <w:tr w:rsidR="00A9147D" w14:paraId="346CF9C6" w14:textId="77777777">
        <w:tc>
          <w:tcPr>
            <w:tcW w:w="1809" w:type="dxa"/>
            <w:shd w:val="clear" w:color="auto" w:fill="auto"/>
          </w:tcPr>
          <w:p w14:paraId="282011DF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/>
                <w:sz w:val="18"/>
              </w:rPr>
              <w:t>Ericsson</w:t>
            </w:r>
          </w:p>
        </w:tc>
        <w:tc>
          <w:tcPr>
            <w:tcW w:w="7797" w:type="dxa"/>
            <w:shd w:val="clear" w:color="auto" w:fill="auto"/>
          </w:tcPr>
          <w:p w14:paraId="715A68A2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</w:rPr>
            </w:pPr>
            <w:r>
              <w:rPr>
                <w:rFonts w:eastAsia="DengXian" w:cs="Times New Roman"/>
                <w:sz w:val="18"/>
              </w:rPr>
              <w:t>Share FL’s view. In addition, configuration would be significantly more complicated if SCS configuration per resource is allowed.</w:t>
            </w:r>
          </w:p>
        </w:tc>
      </w:tr>
      <w:tr w:rsidR="00A9147D" w14:paraId="6638E72D" w14:textId="77777777">
        <w:tc>
          <w:tcPr>
            <w:tcW w:w="1809" w:type="dxa"/>
            <w:shd w:val="clear" w:color="auto" w:fill="auto"/>
          </w:tcPr>
          <w:p w14:paraId="53B7028F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  <w:lang w:val="en-US"/>
              </w:rPr>
            </w:pPr>
            <w:r>
              <w:rPr>
                <w:rFonts w:eastAsia="DengXian" w:cs="Times New Roman" w:hint="eastAsia"/>
                <w:sz w:val="18"/>
                <w:lang w:val="en-US"/>
              </w:rPr>
              <w:t>ZTE</w:t>
            </w:r>
          </w:p>
        </w:tc>
        <w:tc>
          <w:tcPr>
            <w:tcW w:w="7797" w:type="dxa"/>
            <w:shd w:val="clear" w:color="auto" w:fill="auto"/>
          </w:tcPr>
          <w:p w14:paraId="2EEA1BCA" w14:textId="77777777" w:rsidR="00A9147D" w:rsidRDefault="00000000">
            <w:pPr>
              <w:widowControl/>
              <w:spacing w:after="160" w:line="240" w:lineRule="exact"/>
              <w:jc w:val="left"/>
              <w:rPr>
                <w:rFonts w:eastAsia="DengXian" w:cs="Times New Roman"/>
                <w:sz w:val="18"/>
                <w:lang w:val="en-US"/>
              </w:rPr>
            </w:pPr>
            <w:r>
              <w:rPr>
                <w:rFonts w:eastAsia="DengXian" w:cs="Times New Roman" w:hint="eastAsia"/>
                <w:sz w:val="18"/>
                <w:lang w:val="en-US"/>
              </w:rPr>
              <w:t>Agree with FL</w:t>
            </w:r>
            <w:r>
              <w:rPr>
                <w:rFonts w:eastAsia="DengXian" w:cs="Times New Roman"/>
                <w:sz w:val="18"/>
                <w:lang w:val="en-US"/>
              </w:rPr>
              <w:t>’</w:t>
            </w:r>
            <w:r>
              <w:rPr>
                <w:rFonts w:eastAsia="DengXian" w:cs="Times New Roman" w:hint="eastAsia"/>
                <w:sz w:val="18"/>
                <w:lang w:val="en-US"/>
              </w:rPr>
              <w:t>s assessment. During the discussion of RRC parameters, it</w:t>
            </w:r>
            <w:r>
              <w:rPr>
                <w:rFonts w:eastAsia="DengXian" w:cs="Times New Roman"/>
                <w:sz w:val="18"/>
                <w:lang w:val="en-US"/>
              </w:rPr>
              <w:t>’</w:t>
            </w:r>
            <w:r>
              <w:rPr>
                <w:rFonts w:eastAsia="DengXian" w:cs="Times New Roman" w:hint="eastAsia"/>
                <w:sz w:val="18"/>
                <w:lang w:val="en-US"/>
              </w:rPr>
              <w:t>s clear that the reference SCS is per list instead of per resource, we don</w:t>
            </w:r>
            <w:r>
              <w:rPr>
                <w:rFonts w:eastAsia="DengXian" w:cs="Times New Roman"/>
                <w:sz w:val="18"/>
                <w:lang w:val="en-US"/>
              </w:rPr>
              <w:t>’</w:t>
            </w:r>
            <w:r>
              <w:rPr>
                <w:rFonts w:eastAsia="DengXian" w:cs="Times New Roman" w:hint="eastAsia"/>
                <w:sz w:val="18"/>
                <w:lang w:val="en-US"/>
              </w:rPr>
              <w:t>t think current design violates previous agreement.</w:t>
            </w:r>
          </w:p>
        </w:tc>
      </w:tr>
    </w:tbl>
    <w:p w14:paraId="30099E89" w14:textId="77777777" w:rsidR="00A9147D" w:rsidRDefault="00A9147D">
      <w:pPr>
        <w:rPr>
          <w:b/>
          <w:bCs/>
          <w:lang w:val="en-US"/>
        </w:rPr>
      </w:pPr>
    </w:p>
    <w:p w14:paraId="7C13CAE7" w14:textId="77777777" w:rsidR="00A9147D" w:rsidRDefault="00000000">
      <w:pPr>
        <w:pStyle w:val="2"/>
        <w:numPr>
          <w:ilvl w:val="1"/>
          <w:numId w:val="2"/>
        </w:numPr>
        <w:tabs>
          <w:tab w:val="left" w:pos="360"/>
        </w:tabs>
        <w:spacing w:line="240" w:lineRule="auto"/>
        <w:ind w:left="0" w:firstLine="0"/>
        <w:rPr>
          <w:i w:val="0"/>
          <w:iCs w:val="0"/>
        </w:rPr>
      </w:pPr>
      <w:r>
        <w:rPr>
          <w:i w:val="0"/>
          <w:iCs w:val="0"/>
        </w:rPr>
        <w:t>Potential issues relevant to C link BFR (considered in 8.11.1)</w:t>
      </w:r>
    </w:p>
    <w:p w14:paraId="1E5BF7A8" w14:textId="77777777" w:rsidR="00A9147D" w:rsidRDefault="00000000">
      <w:pPr>
        <w:pStyle w:val="2"/>
        <w:numPr>
          <w:ilvl w:val="2"/>
          <w:numId w:val="2"/>
        </w:numPr>
        <w:spacing w:line="240" w:lineRule="auto"/>
        <w:ind w:left="504"/>
        <w:rPr>
          <w:i w:val="0"/>
          <w:iCs w:val="0"/>
          <w:sz w:val="20"/>
          <w:szCs w:val="22"/>
        </w:rPr>
      </w:pPr>
      <w:r>
        <w:rPr>
          <w:i w:val="0"/>
          <w:iCs w:val="0"/>
          <w:sz w:val="20"/>
          <w:szCs w:val="22"/>
        </w:rPr>
        <w:t>Separate BFR for C link and BH link (Huawei, Apple)</w:t>
      </w:r>
    </w:p>
    <w:p w14:paraId="4938A5B2" w14:textId="77777777" w:rsidR="00A9147D" w:rsidRDefault="00000000">
      <w:r>
        <w:t xml:space="preserve">The following proposals are given in </w:t>
      </w:r>
      <w:r>
        <w:fldChar w:fldCharType="begin"/>
      </w:r>
      <w:r>
        <w:instrText xml:space="preserve"> REF _Ref146991485 \r \h </w:instrText>
      </w:r>
      <w:r>
        <w:fldChar w:fldCharType="separate"/>
      </w:r>
      <w:r>
        <w:t xml:space="preserve">[1] </w:t>
      </w:r>
      <w:r>
        <w:fldChar w:fldCharType="end"/>
      </w:r>
      <w:r>
        <w:t xml:space="preserve">and </w:t>
      </w:r>
      <w:r>
        <w:fldChar w:fldCharType="begin"/>
      </w:r>
      <w:r>
        <w:instrText xml:space="preserve"> REF _Ref146991488 \r \h </w:instrText>
      </w:r>
      <w:r>
        <w:fldChar w:fldCharType="separate"/>
      </w:r>
      <w:r>
        <w:t xml:space="preserve">[6]. </w:t>
      </w:r>
      <w:r>
        <w:fldChar w:fldCharType="end"/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9147D" w14:paraId="4A5862E9" w14:textId="77777777">
        <w:tc>
          <w:tcPr>
            <w:tcW w:w="9736" w:type="dxa"/>
          </w:tcPr>
          <w:p w14:paraId="1D398A50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Proposal 1 in [1]: Two additional RSRP thresholds Qout,Fwd and Qin,Fwd are configured to NCR-MT for NCR-Fwd beam failure detection and recovery:</w:t>
            </w:r>
          </w:p>
          <w:p w14:paraId="437BE113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</w:t>
            </w:r>
            <w:r>
              <w:rPr>
                <w:rFonts w:cs="Times New Roman"/>
                <w:szCs w:val="20"/>
                <w:lang w:val="en-US"/>
              </w:rPr>
              <w:tab/>
              <w:t xml:space="preserve">The backhaul link beam is not used for signal forwarding if the link quality is below Qout,Fwd </w:t>
            </w:r>
          </w:p>
          <w:p w14:paraId="027670B8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lastRenderedPageBreak/>
              <w:t></w:t>
            </w:r>
            <w:r>
              <w:rPr>
                <w:rFonts w:cs="Times New Roman"/>
                <w:szCs w:val="20"/>
                <w:lang w:val="en-US"/>
              </w:rPr>
              <w:tab/>
              <w:t>A backhaul link beam can be used for signal forwarding if the link quality is above Qin,Fwd.</w:t>
            </w:r>
          </w:p>
          <w:p w14:paraId="14CEFC04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Proposal 2 in [1]: If beam failure is detected for NCR-Fwd, NCR-MT can report an NCR-Fwd failure and a qualified backhaul link beam qnew, Fwd to the gNB.</w:t>
            </w:r>
          </w:p>
          <w:p w14:paraId="63A6EFA2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Proposal 1 in [6]: When BFR/RLF happen in the control link, the NCR-Fwd behavior should take into account whether the same beam is used for both backhaul link and control or different beams are used</w:t>
            </w:r>
          </w:p>
          <w:p w14:paraId="164403F4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-</w:t>
            </w:r>
            <w:r>
              <w:rPr>
                <w:rFonts w:cs="Times New Roman"/>
                <w:szCs w:val="20"/>
                <w:lang w:val="en-US"/>
              </w:rPr>
              <w:tab/>
              <w:t>If the latest beam being applied for backhaul link is different than the beam used for control link, then NCR-Fwd can be ON, for the already scheduled forwarding resources</w:t>
            </w:r>
          </w:p>
        </w:tc>
      </w:tr>
    </w:tbl>
    <w:p w14:paraId="3BD7521F" w14:textId="77777777" w:rsidR="00A9147D" w:rsidRDefault="00000000">
      <w:pPr>
        <w:pStyle w:val="2"/>
        <w:numPr>
          <w:ilvl w:val="2"/>
          <w:numId w:val="2"/>
        </w:numPr>
        <w:spacing w:line="240" w:lineRule="auto"/>
        <w:ind w:left="504"/>
        <w:rPr>
          <w:i w:val="0"/>
          <w:iCs w:val="0"/>
          <w:sz w:val="20"/>
          <w:szCs w:val="22"/>
        </w:rPr>
      </w:pPr>
      <w:r>
        <w:rPr>
          <w:i w:val="0"/>
          <w:iCs w:val="0"/>
          <w:sz w:val="20"/>
          <w:szCs w:val="22"/>
        </w:rPr>
        <w:lastRenderedPageBreak/>
        <w:t>Beams for AC link after C link BFR is detected. (CATT)</w:t>
      </w:r>
    </w:p>
    <w:p w14:paraId="4E76420F" w14:textId="77777777" w:rsidR="00A9147D" w:rsidRDefault="00000000">
      <w:r>
        <w:t xml:space="preserve">The following proposal is given in </w:t>
      </w:r>
      <w:r>
        <w:fldChar w:fldCharType="begin"/>
      </w:r>
      <w:r>
        <w:instrText xml:space="preserve"> REF _Ref146991485 \r \h </w:instrText>
      </w:r>
      <w:r>
        <w:fldChar w:fldCharType="separate"/>
      </w:r>
      <w:r>
        <w:fldChar w:fldCharType="begin"/>
      </w:r>
      <w:r>
        <w:instrText xml:space="preserve"> REF _Ref146991867 \r \h </w:instrText>
      </w:r>
      <w:r>
        <w:fldChar w:fldCharType="separate"/>
      </w:r>
      <w:r>
        <w:t>[4]</w:t>
      </w:r>
      <w:r>
        <w:fldChar w:fldCharType="end"/>
      </w:r>
      <w:r>
        <w:fldChar w:fldCharType="end"/>
      </w:r>
      <w: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9147D" w14:paraId="53374291" w14:textId="77777777">
        <w:tc>
          <w:tcPr>
            <w:tcW w:w="9736" w:type="dxa"/>
          </w:tcPr>
          <w:p w14:paraId="29D10847" w14:textId="77777777" w:rsidR="00A9147D" w:rsidRDefault="00000000">
            <w:pPr>
              <w:spacing w:after="0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 xml:space="preserve">Proposal 1 in </w:t>
            </w:r>
            <w:r>
              <w:rPr>
                <w:rFonts w:cs="Times New Roman"/>
                <w:szCs w:val="20"/>
                <w:lang w:val="en-US"/>
              </w:rPr>
              <w:fldChar w:fldCharType="begin"/>
            </w:r>
            <w:r>
              <w:rPr>
                <w:rFonts w:cs="Times New Roman"/>
                <w:szCs w:val="20"/>
                <w:lang w:val="en-US"/>
              </w:rPr>
              <w:instrText xml:space="preserve"> REF _Ref146991485 \r \h </w:instrText>
            </w:r>
            <w:r>
              <w:rPr>
                <w:rFonts w:cs="Times New Roman"/>
                <w:szCs w:val="20"/>
                <w:lang w:val="en-US"/>
              </w:rPr>
            </w:r>
            <w:r>
              <w:rPr>
                <w:rFonts w:cs="Times New Roman"/>
                <w:szCs w:val="20"/>
                <w:lang w:val="en-US"/>
              </w:rPr>
              <w:fldChar w:fldCharType="separate"/>
            </w:r>
            <w:r>
              <w:rPr>
                <w:rFonts w:cs="Times New Roman"/>
                <w:szCs w:val="20"/>
                <w:lang w:val="en-US"/>
              </w:rPr>
              <w:fldChar w:fldCharType="begin"/>
            </w:r>
            <w:r>
              <w:rPr>
                <w:rFonts w:cs="Times New Roman"/>
                <w:szCs w:val="20"/>
                <w:lang w:val="en-US"/>
              </w:rPr>
              <w:instrText xml:space="preserve"> REF _Ref146991867 \r \h </w:instrText>
            </w:r>
            <w:r>
              <w:rPr>
                <w:rFonts w:cs="Times New Roman"/>
                <w:szCs w:val="20"/>
                <w:lang w:val="en-US"/>
              </w:rPr>
            </w:r>
            <w:r>
              <w:rPr>
                <w:rFonts w:cs="Times New Roman"/>
                <w:szCs w:val="20"/>
                <w:lang w:val="en-US"/>
              </w:rPr>
              <w:fldChar w:fldCharType="separate"/>
            </w:r>
            <w:r>
              <w:rPr>
                <w:rFonts w:cs="Times New Roman"/>
                <w:szCs w:val="20"/>
                <w:lang w:val="en-US"/>
              </w:rPr>
              <w:t>[4]</w:t>
            </w:r>
            <w:r>
              <w:rPr>
                <w:rFonts w:cs="Times New Roman"/>
                <w:szCs w:val="20"/>
                <w:lang w:val="en-US"/>
              </w:rPr>
              <w:fldChar w:fldCharType="end"/>
            </w:r>
            <w:r>
              <w:rPr>
                <w:rFonts w:cs="Times New Roman"/>
                <w:szCs w:val="20"/>
                <w:lang w:val="en-US"/>
              </w:rPr>
              <w:fldChar w:fldCharType="end"/>
            </w:r>
            <w:r>
              <w:rPr>
                <w:rFonts w:cs="Times New Roman"/>
                <w:szCs w:val="20"/>
                <w:lang w:val="en-US"/>
              </w:rPr>
              <w:t>:</w:t>
            </w:r>
            <w:r>
              <w:rPr>
                <w:rFonts w:cs="Times New Roman"/>
                <w:szCs w:val="20"/>
                <w:lang w:val="en-US"/>
              </w:rPr>
              <w:tab/>
              <w:t>For NCR-MT, it is preferable to preserve higher layer beam information (RRC, MAC-CE) for A-link and releases the lower layer beam information (DCI) for A-link when the beam failure is detected in C-link by NCR-MT. The NCR-MT reuses the stored beam information (RRC, MAC-CE) for A-link.</w:t>
            </w:r>
          </w:p>
        </w:tc>
      </w:tr>
    </w:tbl>
    <w:p w14:paraId="0A01860D" w14:textId="77777777" w:rsidR="00A9147D" w:rsidRDefault="00000000">
      <w:pPr>
        <w:pStyle w:val="2"/>
        <w:numPr>
          <w:ilvl w:val="1"/>
          <w:numId w:val="2"/>
        </w:numPr>
        <w:tabs>
          <w:tab w:val="left" w:pos="360"/>
        </w:tabs>
        <w:spacing w:line="240" w:lineRule="auto"/>
        <w:ind w:left="0" w:firstLine="0"/>
        <w:rPr>
          <w:i w:val="0"/>
          <w:iCs w:val="0"/>
        </w:rPr>
      </w:pPr>
      <w:r>
        <w:rPr>
          <w:i w:val="0"/>
          <w:iCs w:val="0"/>
        </w:rPr>
        <w:t>Potential issues relevant to DCI format 2_8 (considered in 8.11.1)</w:t>
      </w:r>
    </w:p>
    <w:p w14:paraId="77805E3C" w14:textId="77777777" w:rsidR="00A9147D" w:rsidRDefault="00000000">
      <w:pPr>
        <w:pStyle w:val="2"/>
        <w:numPr>
          <w:ilvl w:val="2"/>
          <w:numId w:val="2"/>
        </w:numPr>
        <w:spacing w:line="240" w:lineRule="auto"/>
        <w:ind w:left="504"/>
        <w:rPr>
          <w:i w:val="0"/>
          <w:iCs w:val="0"/>
          <w:sz w:val="20"/>
          <w:szCs w:val="22"/>
        </w:rPr>
      </w:pPr>
      <w:r>
        <w:rPr>
          <w:i w:val="0"/>
          <w:iCs w:val="0"/>
          <w:sz w:val="20"/>
          <w:szCs w:val="22"/>
        </w:rPr>
        <w:t>DCI size alignment for DCI format 2_8 (Samsung)</w:t>
      </w:r>
    </w:p>
    <w:p w14:paraId="12AC28DF" w14:textId="77777777" w:rsidR="00A9147D" w:rsidRDefault="00000000">
      <w:r>
        <w:t xml:space="preserve">The following proposal is given in </w:t>
      </w:r>
      <w:r>
        <w:fldChar w:fldCharType="begin"/>
      </w:r>
      <w:r>
        <w:instrText xml:space="preserve"> REF _Ref146992127 \r \h </w:instrText>
      </w:r>
      <w:r>
        <w:fldChar w:fldCharType="separate"/>
      </w:r>
      <w:r>
        <w:t>[3]</w:t>
      </w:r>
      <w:r>
        <w:fldChar w:fldCharType="end"/>
      </w:r>
      <w: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9147D" w14:paraId="320A4CEE" w14:textId="77777777">
        <w:tc>
          <w:tcPr>
            <w:tcW w:w="9736" w:type="dxa"/>
          </w:tcPr>
          <w:p w14:paraId="71A8BD43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 xml:space="preserve">Proposal 2 in </w:t>
            </w:r>
            <w:r>
              <w:rPr>
                <w:rFonts w:cs="Times New Roman"/>
                <w:szCs w:val="20"/>
                <w:lang w:val="en-US"/>
              </w:rPr>
              <w:fldChar w:fldCharType="begin"/>
            </w:r>
            <w:r>
              <w:rPr>
                <w:rFonts w:cs="Times New Roman"/>
                <w:szCs w:val="20"/>
                <w:lang w:val="en-US"/>
              </w:rPr>
              <w:instrText xml:space="preserve"> REF _Ref146992127 \r \h </w:instrText>
            </w:r>
            <w:r>
              <w:rPr>
                <w:rFonts w:cs="Times New Roman"/>
                <w:szCs w:val="20"/>
                <w:lang w:val="en-US"/>
              </w:rPr>
            </w:r>
            <w:r>
              <w:rPr>
                <w:rFonts w:cs="Times New Roman"/>
                <w:szCs w:val="20"/>
                <w:lang w:val="en-US"/>
              </w:rPr>
              <w:fldChar w:fldCharType="separate"/>
            </w:r>
            <w:r>
              <w:rPr>
                <w:rFonts w:cs="Times New Roman"/>
                <w:szCs w:val="20"/>
                <w:lang w:val="en-US"/>
              </w:rPr>
              <w:t>[3]</w:t>
            </w:r>
            <w:r>
              <w:rPr>
                <w:rFonts w:cs="Times New Roman"/>
                <w:szCs w:val="20"/>
                <w:lang w:val="en-US"/>
              </w:rPr>
              <w:fldChar w:fldCharType="end"/>
            </w:r>
            <w:r>
              <w:rPr>
                <w:rFonts w:cs="Times New Roman"/>
                <w:szCs w:val="20"/>
                <w:lang w:val="en-US"/>
              </w:rPr>
              <w:t xml:space="preserve">: To ensure the “3+1” DCI size budget, DCI format 2_8 can be size matched with a reference DCI format: </w:t>
            </w:r>
          </w:p>
          <w:p w14:paraId="7171B3C4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•</w:t>
            </w:r>
            <w:r>
              <w:rPr>
                <w:rFonts w:cs="Times New Roman"/>
                <w:szCs w:val="20"/>
                <w:lang w:val="en-US"/>
              </w:rPr>
              <w:tab/>
              <w:t>Zero padding can be applied to DCI format 2_8 until its payload size equals that of the smallest DCI format that is larger than DCI format 2_8.</w:t>
            </w:r>
          </w:p>
        </w:tc>
      </w:tr>
    </w:tbl>
    <w:p w14:paraId="50362180" w14:textId="77777777" w:rsidR="00A9147D" w:rsidRDefault="00000000">
      <w:pPr>
        <w:pStyle w:val="2"/>
        <w:numPr>
          <w:ilvl w:val="2"/>
          <w:numId w:val="2"/>
        </w:numPr>
        <w:spacing w:line="240" w:lineRule="auto"/>
        <w:ind w:left="504"/>
        <w:rPr>
          <w:i w:val="0"/>
          <w:iCs w:val="0"/>
          <w:sz w:val="20"/>
          <w:szCs w:val="22"/>
        </w:rPr>
      </w:pPr>
      <w:r>
        <w:rPr>
          <w:i w:val="0"/>
          <w:iCs w:val="0"/>
          <w:sz w:val="20"/>
          <w:szCs w:val="22"/>
        </w:rPr>
        <w:t>Slot offsets for dynamic indication of DCI format 2_8 (Ericsson)</w:t>
      </w:r>
    </w:p>
    <w:p w14:paraId="47AFF993" w14:textId="77777777" w:rsidR="00A9147D" w:rsidRDefault="00000000">
      <w:r>
        <w:t xml:space="preserve">The following proposal is given in </w:t>
      </w:r>
      <w:r>
        <w:fldChar w:fldCharType="begin"/>
      </w:r>
      <w:r>
        <w:instrText xml:space="preserve"> REF _Ref146992872 \r \h </w:instrText>
      </w:r>
      <w:r>
        <w:fldChar w:fldCharType="separate"/>
      </w:r>
      <w:r>
        <w:t>[5]</w:t>
      </w:r>
      <w:r>
        <w:fldChar w:fldCharType="end"/>
      </w:r>
      <w: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9147D" w14:paraId="66EA96CA" w14:textId="77777777">
        <w:tc>
          <w:tcPr>
            <w:tcW w:w="9736" w:type="dxa"/>
          </w:tcPr>
          <w:p w14:paraId="45066095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 xml:space="preserve">Proposal 1 in </w:t>
            </w:r>
            <w:r>
              <w:rPr>
                <w:rFonts w:cs="Times New Roman"/>
                <w:szCs w:val="20"/>
                <w:lang w:val="en-US"/>
              </w:rPr>
              <w:fldChar w:fldCharType="begin"/>
            </w:r>
            <w:r>
              <w:rPr>
                <w:rFonts w:cs="Times New Roman"/>
                <w:szCs w:val="20"/>
                <w:lang w:val="en-US"/>
              </w:rPr>
              <w:instrText xml:space="preserve"> REF _Ref146992872 \r \h </w:instrText>
            </w:r>
            <w:r>
              <w:rPr>
                <w:rFonts w:cs="Times New Roman"/>
                <w:szCs w:val="20"/>
                <w:lang w:val="en-US"/>
              </w:rPr>
            </w:r>
            <w:r>
              <w:rPr>
                <w:rFonts w:cs="Times New Roman"/>
                <w:szCs w:val="20"/>
                <w:lang w:val="en-US"/>
              </w:rPr>
              <w:fldChar w:fldCharType="separate"/>
            </w:r>
            <w:r>
              <w:rPr>
                <w:rFonts w:cs="Times New Roman"/>
                <w:szCs w:val="20"/>
                <w:lang w:val="en-US"/>
              </w:rPr>
              <w:t>[5]</w:t>
            </w:r>
            <w:r>
              <w:rPr>
                <w:rFonts w:cs="Times New Roman"/>
                <w:szCs w:val="20"/>
                <w:lang w:val="en-US"/>
              </w:rPr>
              <w:fldChar w:fldCharType="end"/>
            </w:r>
            <w:r>
              <w:rPr>
                <w:rFonts w:cs="Times New Roman"/>
                <w:szCs w:val="20"/>
                <w:lang w:val="en-US"/>
              </w:rPr>
              <w:t>:</w:t>
            </w:r>
            <w:r>
              <w:rPr>
                <w:rFonts w:cs="Times New Roman"/>
                <w:szCs w:val="20"/>
                <w:lang w:val="en-US"/>
              </w:rPr>
              <w:tab/>
              <w:t>A slot offset capability value of k implies that the NCR can apply a DCI indicated aperiodic beam at slot n+k, provided the DCI is transmitted in the first three symbols of slot n.</w:t>
            </w:r>
          </w:p>
          <w:p w14:paraId="20B4085A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 xml:space="preserve">Proposal 2 in </w:t>
            </w:r>
            <w:r>
              <w:rPr>
                <w:rFonts w:cs="Times New Roman"/>
                <w:szCs w:val="20"/>
                <w:lang w:val="en-US"/>
              </w:rPr>
              <w:fldChar w:fldCharType="begin"/>
            </w:r>
            <w:r>
              <w:rPr>
                <w:rFonts w:cs="Times New Roman"/>
                <w:szCs w:val="20"/>
                <w:lang w:val="en-US"/>
              </w:rPr>
              <w:instrText xml:space="preserve"> REF _Ref146992872 \r \h </w:instrText>
            </w:r>
            <w:r>
              <w:rPr>
                <w:rFonts w:cs="Times New Roman"/>
                <w:szCs w:val="20"/>
                <w:lang w:val="en-US"/>
              </w:rPr>
            </w:r>
            <w:r>
              <w:rPr>
                <w:rFonts w:cs="Times New Roman"/>
                <w:szCs w:val="20"/>
                <w:lang w:val="en-US"/>
              </w:rPr>
              <w:fldChar w:fldCharType="separate"/>
            </w:r>
            <w:r>
              <w:rPr>
                <w:rFonts w:cs="Times New Roman"/>
                <w:szCs w:val="20"/>
                <w:lang w:val="en-US"/>
              </w:rPr>
              <w:t>[5]</w:t>
            </w:r>
            <w:r>
              <w:rPr>
                <w:rFonts w:cs="Times New Roman"/>
                <w:szCs w:val="20"/>
                <w:lang w:val="en-US"/>
              </w:rPr>
              <w:fldChar w:fldCharType="end"/>
            </w:r>
            <w:r>
              <w:rPr>
                <w:rFonts w:cs="Times New Roman"/>
                <w:szCs w:val="20"/>
                <w:lang w:val="en-US"/>
              </w:rPr>
              <w:t>:</w:t>
            </w:r>
            <w:r>
              <w:rPr>
                <w:rFonts w:cs="Times New Roman"/>
                <w:szCs w:val="20"/>
                <w:lang w:val="en-US"/>
              </w:rPr>
              <w:tab/>
              <w:t>The DCI reception slot n and the slot offset k are both indicated with respect to the configured numerology of the NCR-MT’s PDCCH.</w:t>
            </w:r>
          </w:p>
          <w:p w14:paraId="35B11E77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 xml:space="preserve">Proposal 3 in </w:t>
            </w:r>
            <w:r>
              <w:rPr>
                <w:rFonts w:cs="Times New Roman"/>
                <w:szCs w:val="20"/>
                <w:lang w:val="en-US"/>
              </w:rPr>
              <w:fldChar w:fldCharType="begin"/>
            </w:r>
            <w:r>
              <w:rPr>
                <w:rFonts w:cs="Times New Roman"/>
                <w:szCs w:val="20"/>
                <w:lang w:val="en-US"/>
              </w:rPr>
              <w:instrText xml:space="preserve"> REF _Ref146992872 \r \h </w:instrText>
            </w:r>
            <w:r>
              <w:rPr>
                <w:rFonts w:cs="Times New Roman"/>
                <w:szCs w:val="20"/>
                <w:lang w:val="en-US"/>
              </w:rPr>
            </w:r>
            <w:r>
              <w:rPr>
                <w:rFonts w:cs="Times New Roman"/>
                <w:szCs w:val="20"/>
                <w:lang w:val="en-US"/>
              </w:rPr>
              <w:fldChar w:fldCharType="separate"/>
            </w:r>
            <w:r>
              <w:rPr>
                <w:rFonts w:cs="Times New Roman"/>
                <w:szCs w:val="20"/>
                <w:lang w:val="en-US"/>
              </w:rPr>
              <w:t>[5]</w:t>
            </w:r>
            <w:r>
              <w:rPr>
                <w:rFonts w:cs="Times New Roman"/>
                <w:szCs w:val="20"/>
                <w:lang w:val="en-US"/>
              </w:rPr>
              <w:fldChar w:fldCharType="end"/>
            </w:r>
            <w:r>
              <w:rPr>
                <w:rFonts w:cs="Times New Roman"/>
                <w:szCs w:val="20"/>
                <w:lang w:val="en-US"/>
              </w:rPr>
              <w:t>:</w:t>
            </w:r>
            <w:r>
              <w:rPr>
                <w:rFonts w:cs="Times New Roman"/>
                <w:szCs w:val="20"/>
                <w:lang w:val="en-US"/>
              </w:rPr>
              <w:tab/>
              <w:t>If the indicated DCI application time as determined by the MT’s numerology does not coincide with a slot boundary of the indicated reference SCS, the DCI application time is postponed until the start of the subsequent slot according to the indicated reference SCS.</w:t>
            </w:r>
          </w:p>
        </w:tc>
      </w:tr>
    </w:tbl>
    <w:p w14:paraId="50A7C23C" w14:textId="77777777" w:rsidR="00A9147D" w:rsidRDefault="00000000">
      <w:pPr>
        <w:pStyle w:val="2"/>
        <w:numPr>
          <w:ilvl w:val="2"/>
          <w:numId w:val="2"/>
        </w:numPr>
        <w:spacing w:line="240" w:lineRule="auto"/>
        <w:ind w:left="504"/>
        <w:rPr>
          <w:i w:val="0"/>
          <w:iCs w:val="0"/>
          <w:sz w:val="20"/>
          <w:szCs w:val="22"/>
        </w:rPr>
      </w:pPr>
      <w:r>
        <w:rPr>
          <w:i w:val="0"/>
          <w:iCs w:val="0"/>
          <w:sz w:val="20"/>
          <w:szCs w:val="22"/>
        </w:rPr>
        <w:t>Number of beam-time indications in one DCI format 2_8 (Ericsson)</w:t>
      </w:r>
    </w:p>
    <w:p w14:paraId="4ED3657E" w14:textId="77777777" w:rsidR="00A9147D" w:rsidRDefault="00000000">
      <w:r>
        <w:t xml:space="preserve">The following proposal is given in </w:t>
      </w:r>
      <w:r>
        <w:fldChar w:fldCharType="begin"/>
      </w:r>
      <w:r>
        <w:instrText xml:space="preserve"> REF _Ref146992872 \r \h </w:instrText>
      </w:r>
      <w:r>
        <w:fldChar w:fldCharType="separate"/>
      </w:r>
      <w:r>
        <w:t>[5]</w:t>
      </w:r>
      <w:r>
        <w:fldChar w:fldCharType="end"/>
      </w:r>
      <w: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9147D" w14:paraId="589A5EFC" w14:textId="77777777">
        <w:tc>
          <w:tcPr>
            <w:tcW w:w="9736" w:type="dxa"/>
          </w:tcPr>
          <w:p w14:paraId="1EE9699E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 xml:space="preserve">Proposal 4 in </w:t>
            </w:r>
            <w:r>
              <w:rPr>
                <w:rFonts w:cs="Times New Roman"/>
                <w:szCs w:val="20"/>
                <w:lang w:val="en-US"/>
              </w:rPr>
              <w:fldChar w:fldCharType="begin"/>
            </w:r>
            <w:r>
              <w:rPr>
                <w:rFonts w:cs="Times New Roman"/>
                <w:szCs w:val="20"/>
                <w:lang w:val="en-US"/>
              </w:rPr>
              <w:instrText xml:space="preserve"> REF _Ref146992872 \r \h </w:instrText>
            </w:r>
            <w:r>
              <w:rPr>
                <w:rFonts w:cs="Times New Roman"/>
                <w:szCs w:val="20"/>
                <w:lang w:val="en-US"/>
              </w:rPr>
            </w:r>
            <w:r>
              <w:rPr>
                <w:rFonts w:cs="Times New Roman"/>
                <w:szCs w:val="20"/>
                <w:lang w:val="en-US"/>
              </w:rPr>
              <w:fldChar w:fldCharType="separate"/>
            </w:r>
            <w:r>
              <w:rPr>
                <w:rFonts w:cs="Times New Roman"/>
                <w:szCs w:val="20"/>
                <w:lang w:val="en-US"/>
              </w:rPr>
              <w:t>[5]</w:t>
            </w:r>
            <w:r>
              <w:rPr>
                <w:rFonts w:cs="Times New Roman"/>
                <w:szCs w:val="20"/>
                <w:lang w:val="en-US"/>
              </w:rPr>
              <w:fldChar w:fldCharType="end"/>
            </w:r>
            <w:r>
              <w:rPr>
                <w:rFonts w:cs="Times New Roman"/>
                <w:szCs w:val="20"/>
                <w:lang w:val="en-US"/>
              </w:rPr>
              <w:t>:</w:t>
            </w:r>
            <w:r>
              <w:rPr>
                <w:rFonts w:cs="Times New Roman"/>
                <w:szCs w:val="20"/>
                <w:lang w:val="en-US"/>
              </w:rPr>
              <w:tab/>
              <w:t>The number of valid beam indications in each DCI format 2_8 can be less or equal to numberOfFields in NCR-AperiodicFwdConfig which indicates the number of time resource fields in one DCI carrying aperiodic beam indication.</w:t>
            </w:r>
          </w:p>
          <w:p w14:paraId="7B8599E0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 xml:space="preserve">Proposal 5 in </w:t>
            </w:r>
            <w:r>
              <w:rPr>
                <w:rFonts w:cs="Times New Roman"/>
                <w:szCs w:val="20"/>
                <w:lang w:val="en-US"/>
              </w:rPr>
              <w:fldChar w:fldCharType="begin"/>
            </w:r>
            <w:r>
              <w:rPr>
                <w:rFonts w:cs="Times New Roman"/>
                <w:szCs w:val="20"/>
                <w:lang w:val="en-US"/>
              </w:rPr>
              <w:instrText xml:space="preserve"> REF _Ref146992872 \r \h </w:instrText>
            </w:r>
            <w:r>
              <w:rPr>
                <w:rFonts w:cs="Times New Roman"/>
                <w:szCs w:val="20"/>
                <w:lang w:val="en-US"/>
              </w:rPr>
            </w:r>
            <w:r>
              <w:rPr>
                <w:rFonts w:cs="Times New Roman"/>
                <w:szCs w:val="20"/>
                <w:lang w:val="en-US"/>
              </w:rPr>
              <w:fldChar w:fldCharType="separate"/>
            </w:r>
            <w:r>
              <w:rPr>
                <w:rFonts w:cs="Times New Roman"/>
                <w:szCs w:val="20"/>
                <w:lang w:val="en-US"/>
              </w:rPr>
              <w:t>[5]</w:t>
            </w:r>
            <w:r>
              <w:rPr>
                <w:rFonts w:cs="Times New Roman"/>
                <w:szCs w:val="20"/>
                <w:lang w:val="en-US"/>
              </w:rPr>
              <w:fldChar w:fldCharType="end"/>
            </w:r>
            <w:r>
              <w:rPr>
                <w:rFonts w:cs="Times New Roman"/>
                <w:szCs w:val="20"/>
                <w:lang w:val="en-US"/>
              </w:rPr>
              <w:t>:</w:t>
            </w:r>
            <w:r>
              <w:rPr>
                <w:rFonts w:cs="Times New Roman"/>
                <w:szCs w:val="20"/>
                <w:lang w:val="en-US"/>
              </w:rPr>
              <w:tab/>
            </w:r>
            <w:proofErr w:type="spellStart"/>
            <w:r>
              <w:rPr>
                <w:rFonts w:cs="Times New Roman"/>
                <w:szCs w:val="20"/>
                <w:lang w:val="en-US"/>
              </w:rPr>
              <w:t>Downselect</w:t>
            </w:r>
            <w:proofErr w:type="spellEnd"/>
            <w:r>
              <w:rPr>
                <w:rFonts w:cs="Times New Roman"/>
                <w:szCs w:val="20"/>
                <w:lang w:val="en-US"/>
              </w:rPr>
              <w:t xml:space="preserve"> between the following alternatives regarding how to indicate a variable number of time resource fields in the dynamic indication:</w:t>
            </w:r>
          </w:p>
          <w:p w14:paraId="4F6D3184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a.</w:t>
            </w:r>
            <w:r>
              <w:rPr>
                <w:rFonts w:cs="Times New Roman"/>
                <w:szCs w:val="20"/>
                <w:lang w:val="en-US"/>
              </w:rPr>
              <w:tab/>
              <w:t>A dedicated NULL beam indication is used to inform the NCR about that a certain time resource field and its corresponding beam indication is not valid. The beam index of the NULL beam is [2aperiodicBeamFieldWidth-1].</w:t>
            </w:r>
          </w:p>
          <w:p w14:paraId="2B117AA2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b.</w:t>
            </w:r>
            <w:r>
              <w:rPr>
                <w:rFonts w:cs="Times New Roman"/>
                <w:szCs w:val="20"/>
                <w:lang w:val="en-US"/>
              </w:rPr>
              <w:tab/>
              <w:t>The actual number of indicated time resources in one dynamic beam indication DCI format 2_8 is explicitly indicated in the DCI with 5 bits.</w:t>
            </w:r>
          </w:p>
        </w:tc>
      </w:tr>
    </w:tbl>
    <w:p w14:paraId="353AC3FC" w14:textId="77777777" w:rsidR="00A9147D" w:rsidRDefault="00000000">
      <w:pPr>
        <w:pStyle w:val="1"/>
        <w:numPr>
          <w:ilvl w:val="0"/>
          <w:numId w:val="2"/>
        </w:numPr>
        <w:tabs>
          <w:tab w:val="left" w:pos="360"/>
        </w:tabs>
        <w:spacing w:before="0" w:after="0"/>
        <w:ind w:left="0" w:firstLine="0"/>
      </w:pPr>
      <w:r>
        <w:t>Reference</w:t>
      </w:r>
    </w:p>
    <w:p w14:paraId="2A7D7D9B" w14:textId="77777777" w:rsidR="00A9147D" w:rsidRDefault="00000000">
      <w:pPr>
        <w:pStyle w:val="af3"/>
        <w:numPr>
          <w:ilvl w:val="0"/>
          <w:numId w:val="3"/>
        </w:numPr>
        <w:tabs>
          <w:tab w:val="left" w:pos="1440"/>
        </w:tabs>
        <w:spacing w:after="0"/>
      </w:pPr>
      <w:bookmarkStart w:id="1" w:name="_Ref146991485"/>
      <w:r>
        <w:t>R1-2308906</w:t>
      </w:r>
      <w:r>
        <w:tab/>
        <w:t>Maintenance of other aspects  for NCR</w:t>
      </w:r>
      <w:r>
        <w:tab/>
        <w:t>Huawei, HiSilicon</w:t>
      </w:r>
      <w:bookmarkEnd w:id="1"/>
    </w:p>
    <w:p w14:paraId="2B485BBB" w14:textId="77777777" w:rsidR="00A9147D" w:rsidRDefault="00000000">
      <w:pPr>
        <w:pStyle w:val="af3"/>
        <w:numPr>
          <w:ilvl w:val="0"/>
          <w:numId w:val="3"/>
        </w:numPr>
        <w:tabs>
          <w:tab w:val="left" w:pos="1440"/>
        </w:tabs>
        <w:spacing w:after="0"/>
      </w:pPr>
      <w:r>
        <w:t>R1-2309148</w:t>
      </w:r>
      <w:r>
        <w:tab/>
        <w:t>Remaining issue on other aspects of NCR</w:t>
      </w:r>
      <w:r>
        <w:tab/>
        <w:t>ZTE</w:t>
      </w:r>
    </w:p>
    <w:p w14:paraId="11F3E629" w14:textId="77777777" w:rsidR="00A9147D" w:rsidRDefault="00000000">
      <w:pPr>
        <w:pStyle w:val="af3"/>
        <w:numPr>
          <w:ilvl w:val="0"/>
          <w:numId w:val="3"/>
        </w:numPr>
        <w:tabs>
          <w:tab w:val="left" w:pos="1440"/>
        </w:tabs>
        <w:spacing w:after="0"/>
      </w:pPr>
      <w:bookmarkStart w:id="2" w:name="_Ref146992127"/>
      <w:r>
        <w:t>R1-2309390</w:t>
      </w:r>
      <w:r>
        <w:tab/>
        <w:t>Remaining Issues on signaling and procedures for network-controlled repeaters</w:t>
      </w:r>
      <w:r>
        <w:tab/>
        <w:t>Samsung</w:t>
      </w:r>
      <w:bookmarkEnd w:id="2"/>
    </w:p>
    <w:p w14:paraId="54D16279" w14:textId="77777777" w:rsidR="00A9147D" w:rsidRDefault="00000000">
      <w:pPr>
        <w:pStyle w:val="af3"/>
        <w:numPr>
          <w:ilvl w:val="0"/>
          <w:numId w:val="3"/>
        </w:numPr>
        <w:tabs>
          <w:tab w:val="left" w:pos="1440"/>
        </w:tabs>
        <w:spacing w:after="0"/>
      </w:pPr>
      <w:bookmarkStart w:id="3" w:name="_Ref146991867"/>
      <w:r>
        <w:t>R1-2309501</w:t>
      </w:r>
      <w:r>
        <w:tab/>
        <w:t>Maintenance on other aspects including control plane signalling and procedures relevant to RAN1 for</w:t>
      </w:r>
      <w:bookmarkEnd w:id="3"/>
      <w:r>
        <w:t xml:space="preserve"> </w:t>
      </w:r>
    </w:p>
    <w:p w14:paraId="7FBBA2E8" w14:textId="77777777" w:rsidR="00A9147D" w:rsidRDefault="00000000">
      <w:pPr>
        <w:tabs>
          <w:tab w:val="left" w:pos="1440"/>
        </w:tabs>
        <w:spacing w:after="0"/>
      </w:pPr>
      <w:r>
        <w:lastRenderedPageBreak/>
        <w:tab/>
        <w:t>NR Network-Controlled Repeaters</w:t>
      </w:r>
      <w:r>
        <w:tab/>
        <w:t>CATT</w:t>
      </w:r>
    </w:p>
    <w:p w14:paraId="5C658E26" w14:textId="77777777" w:rsidR="00A9147D" w:rsidRDefault="00000000">
      <w:pPr>
        <w:pStyle w:val="af3"/>
        <w:numPr>
          <w:ilvl w:val="0"/>
          <w:numId w:val="3"/>
        </w:numPr>
        <w:tabs>
          <w:tab w:val="left" w:pos="1440"/>
        </w:tabs>
        <w:spacing w:after="0"/>
      </w:pPr>
      <w:bookmarkStart w:id="4" w:name="_Ref146992872"/>
      <w:r>
        <w:t>R1-2309775</w:t>
      </w:r>
      <w:r>
        <w:tab/>
        <w:t>Control-plane signaling and procedures for NCR</w:t>
      </w:r>
      <w:r>
        <w:tab/>
        <w:t>Ericsson</w:t>
      </w:r>
      <w:bookmarkEnd w:id="4"/>
    </w:p>
    <w:p w14:paraId="3F0B28FD" w14:textId="77777777" w:rsidR="00A9147D" w:rsidRDefault="00000000">
      <w:pPr>
        <w:pStyle w:val="af3"/>
        <w:numPr>
          <w:ilvl w:val="0"/>
          <w:numId w:val="3"/>
        </w:numPr>
        <w:tabs>
          <w:tab w:val="left" w:pos="1440"/>
        </w:tabs>
        <w:spacing w:after="0"/>
      </w:pPr>
      <w:bookmarkStart w:id="5" w:name="_Ref146991488"/>
      <w:r>
        <w:t>R1-2309846</w:t>
      </w:r>
      <w:r>
        <w:tab/>
        <w:t>On remaining issues for BFR procedures for backhaul link in NCR</w:t>
      </w:r>
      <w:r>
        <w:tab/>
        <w:t>Apple</w:t>
      </w:r>
      <w:bookmarkEnd w:id="5"/>
    </w:p>
    <w:p w14:paraId="2A303BF1" w14:textId="77777777" w:rsidR="00A9147D" w:rsidRDefault="00A9147D">
      <w:pPr>
        <w:rPr>
          <w:sz w:val="18"/>
          <w:szCs w:val="21"/>
        </w:rPr>
      </w:pPr>
    </w:p>
    <w:p w14:paraId="177851B6" w14:textId="77777777" w:rsidR="00A9147D" w:rsidRDefault="00000000">
      <w:pPr>
        <w:pStyle w:val="1"/>
        <w:numPr>
          <w:ilvl w:val="0"/>
          <w:numId w:val="2"/>
        </w:numPr>
        <w:tabs>
          <w:tab w:val="left" w:pos="360"/>
        </w:tabs>
        <w:spacing w:before="0" w:after="0"/>
        <w:ind w:left="0" w:firstLine="0"/>
      </w:pPr>
      <w:r>
        <w:t>Appendix</w:t>
      </w:r>
    </w:p>
    <w:p w14:paraId="7DE37FB1" w14:textId="77777777" w:rsidR="00A9147D" w:rsidRDefault="00000000">
      <w:pPr>
        <w:pStyle w:val="2"/>
        <w:spacing w:line="240" w:lineRule="auto"/>
        <w:rPr>
          <w:i w:val="0"/>
          <w:iCs w:val="0"/>
        </w:rPr>
      </w:pPr>
      <w:r>
        <w:rPr>
          <w:rFonts w:hint="eastAsia"/>
          <w:i w:val="0"/>
          <w:iCs w:val="0"/>
        </w:rPr>
        <w:t>TP#1</w:t>
      </w:r>
      <w:r>
        <w:rPr>
          <w:i w:val="0"/>
          <w:iCs w:val="0"/>
        </w:rPr>
        <w:t xml:space="preserve"> (ZTE)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147D" w14:paraId="64EDA1F6" w14:textId="77777777">
        <w:tc>
          <w:tcPr>
            <w:tcW w:w="9629" w:type="dxa"/>
          </w:tcPr>
          <w:p w14:paraId="1BA69B92" w14:textId="77777777" w:rsidR="00A9147D" w:rsidRDefault="00000000">
            <w:pPr>
              <w:pStyle w:val="CRCoverPage"/>
              <w:spacing w:after="0" w:line="240" w:lineRule="auto"/>
              <w:rPr>
                <w:rFonts w:ascii="Times New Roman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iCs/>
                <w:lang w:val="en-US" w:eastAsia="zh-CN"/>
              </w:rPr>
              <w:t xml:space="preserve">Reason for change: </w:t>
            </w:r>
          </w:p>
          <w:p w14:paraId="61AAE3AA" w14:textId="77777777" w:rsidR="00A9147D" w:rsidRDefault="00000000">
            <w:pPr>
              <w:rPr>
                <w:rFonts w:cs="Times New Roman"/>
                <w:iCs/>
                <w:szCs w:val="20"/>
                <w:lang w:val="en-US"/>
              </w:rPr>
            </w:pPr>
            <w:r>
              <w:rPr>
                <w:rFonts w:cs="Times New Roman" w:hint="eastAsia"/>
                <w:iCs/>
                <w:szCs w:val="20"/>
                <w:lang w:val="en-US"/>
              </w:rPr>
              <w:t>In TS</w:t>
            </w:r>
            <w:r>
              <w:rPr>
                <w:rFonts w:cs="Times New Roman"/>
                <w:iCs/>
                <w:szCs w:val="20"/>
                <w:lang w:val="en-US"/>
              </w:rPr>
              <w:t>38.2</w:t>
            </w:r>
            <w:r>
              <w:rPr>
                <w:rFonts w:cs="Times New Roman" w:hint="eastAsia"/>
                <w:iCs/>
                <w:szCs w:val="20"/>
                <w:lang w:val="en-US"/>
              </w:rPr>
              <w:t xml:space="preserve">11, the statements using the term </w:t>
            </w:r>
            <w:r>
              <w:rPr>
                <w:rFonts w:cs="Times New Roman"/>
                <w:iCs/>
                <w:szCs w:val="20"/>
                <w:lang w:val="en-US"/>
              </w:rPr>
              <w:t>“</w:t>
            </w:r>
            <w:r>
              <w:rPr>
                <w:rFonts w:cs="Times New Roman" w:hint="eastAsia"/>
                <w:iCs/>
                <w:szCs w:val="20"/>
                <w:lang w:val="en-US"/>
              </w:rPr>
              <w:t>UE</w:t>
            </w:r>
            <w:r>
              <w:rPr>
                <w:rFonts w:cs="Times New Roman"/>
                <w:iCs/>
                <w:szCs w:val="20"/>
                <w:lang w:val="en-US"/>
              </w:rPr>
              <w:t>”</w:t>
            </w:r>
            <w:r>
              <w:rPr>
                <w:rFonts w:cs="Times New Roman" w:hint="eastAsia"/>
                <w:iCs/>
                <w:szCs w:val="20"/>
                <w:lang w:val="en-US"/>
              </w:rPr>
              <w:t xml:space="preserve"> are equally applicable to the IAB-MT. Similarly, NCR-MT</w:t>
            </w:r>
            <w:r>
              <w:rPr>
                <w:rFonts w:cs="Times New Roman"/>
                <w:iCs/>
                <w:szCs w:val="20"/>
                <w:lang w:val="en-US"/>
              </w:rPr>
              <w:t>’</w:t>
            </w:r>
            <w:r>
              <w:rPr>
                <w:rFonts w:cs="Times New Roman" w:hint="eastAsia"/>
                <w:iCs/>
                <w:szCs w:val="20"/>
                <w:lang w:val="en-US"/>
              </w:rPr>
              <w:t xml:space="preserve">s behavior is also similar as UE, following the same logic, the statements using the term </w:t>
            </w:r>
            <w:r>
              <w:rPr>
                <w:rFonts w:cs="Times New Roman"/>
                <w:iCs/>
                <w:szCs w:val="20"/>
                <w:lang w:val="en-US"/>
              </w:rPr>
              <w:t>“</w:t>
            </w:r>
            <w:r>
              <w:rPr>
                <w:rFonts w:cs="Times New Roman" w:hint="eastAsia"/>
                <w:iCs/>
                <w:szCs w:val="20"/>
                <w:lang w:val="en-US"/>
              </w:rPr>
              <w:t>UE</w:t>
            </w:r>
            <w:r>
              <w:rPr>
                <w:rFonts w:cs="Times New Roman"/>
                <w:iCs/>
                <w:szCs w:val="20"/>
                <w:lang w:val="en-US"/>
              </w:rPr>
              <w:t>”</w:t>
            </w:r>
            <w:r>
              <w:rPr>
                <w:rFonts w:cs="Times New Roman" w:hint="eastAsia"/>
                <w:iCs/>
                <w:szCs w:val="20"/>
                <w:lang w:val="en-US"/>
              </w:rPr>
              <w:t xml:space="preserve"> are also equally applicable to the NCR-MT unless otherwise noted.</w:t>
            </w:r>
          </w:p>
          <w:p w14:paraId="73ECD05D" w14:textId="77777777" w:rsidR="00A9147D" w:rsidRDefault="00000000">
            <w:pPr>
              <w:rPr>
                <w:rFonts w:cs="Times New Roman"/>
                <w:b/>
                <w:bCs/>
                <w:iCs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iCs/>
                <w:szCs w:val="20"/>
                <w:lang w:val="en-US"/>
              </w:rPr>
              <w:t>Summary of change:</w:t>
            </w:r>
          </w:p>
          <w:p w14:paraId="5F02774B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 w:hint="eastAsia"/>
                <w:szCs w:val="20"/>
                <w:lang w:val="en-US"/>
              </w:rPr>
              <w:t>In TS38.211, clause 3.3, the definition of NCR-MT is added.</w:t>
            </w:r>
          </w:p>
          <w:p w14:paraId="7CA76DA8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 w:hint="eastAsia"/>
                <w:szCs w:val="20"/>
                <w:lang w:val="en-US"/>
              </w:rPr>
              <w:t xml:space="preserve">In clause 4.1, </w:t>
            </w:r>
            <w:r>
              <w:rPr>
                <w:rFonts w:cs="Times New Roman"/>
                <w:szCs w:val="20"/>
                <w:lang w:val="en-US"/>
              </w:rPr>
              <w:t>“</w:t>
            </w:r>
            <w:r>
              <w:rPr>
                <w:rFonts w:cs="Times New Roman" w:hint="eastAsia"/>
                <w:szCs w:val="20"/>
                <w:lang w:val="en-US"/>
              </w:rPr>
              <w:t>and the NCR-MT</w:t>
            </w:r>
            <w:r>
              <w:rPr>
                <w:rFonts w:cs="Times New Roman"/>
                <w:szCs w:val="20"/>
                <w:lang w:val="en-US"/>
              </w:rPr>
              <w:t>”</w:t>
            </w:r>
            <w:r>
              <w:rPr>
                <w:rFonts w:cs="Times New Roman" w:hint="eastAsia"/>
                <w:szCs w:val="20"/>
                <w:lang w:val="en-US"/>
              </w:rPr>
              <w:t xml:space="preserve"> is added after </w:t>
            </w:r>
            <w:r>
              <w:rPr>
                <w:rFonts w:cs="Times New Roman"/>
                <w:szCs w:val="20"/>
                <w:lang w:val="en-US"/>
              </w:rPr>
              <w:t>“Throughout this specification, unless otherwise noted, statements using the term "UE" in clauses 4, 5, 6, or 7 are equally applicable to the IAB-MT part of an IAB-node”</w:t>
            </w:r>
            <w:r>
              <w:rPr>
                <w:rFonts w:cs="Times New Roman" w:hint="eastAsia"/>
                <w:szCs w:val="20"/>
                <w:lang w:val="en-US"/>
              </w:rPr>
              <w:t>.</w:t>
            </w:r>
          </w:p>
          <w:p w14:paraId="3E26B813" w14:textId="77777777" w:rsidR="00A9147D" w:rsidRDefault="00000000">
            <w:pPr>
              <w:rPr>
                <w:rFonts w:cs="Times New Roman"/>
                <w:b/>
                <w:bCs/>
                <w:iCs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iCs/>
                <w:szCs w:val="20"/>
                <w:lang w:val="en-US"/>
              </w:rPr>
              <w:t>Consequences if not approved:</w:t>
            </w:r>
          </w:p>
          <w:p w14:paraId="6E70760F" w14:textId="77777777" w:rsidR="00A9147D" w:rsidRDefault="00000000">
            <w:pPr>
              <w:pBdr>
                <w:bottom w:val="double" w:sz="6" w:space="1" w:color="auto"/>
              </w:pBd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iCs/>
                <w:szCs w:val="20"/>
                <w:lang w:val="en-US"/>
              </w:rPr>
              <w:t xml:space="preserve">The </w:t>
            </w:r>
            <w:r>
              <w:rPr>
                <w:rFonts w:cs="Times New Roman" w:hint="eastAsia"/>
                <w:iCs/>
                <w:szCs w:val="20"/>
                <w:lang w:val="en-US"/>
              </w:rPr>
              <w:t>behavior of NCR-MT is not clear.</w:t>
            </w:r>
          </w:p>
          <w:p w14:paraId="6B6E1063" w14:textId="77777777" w:rsidR="00A9147D" w:rsidRDefault="00000000">
            <w:pPr>
              <w:jc w:val="center"/>
              <w:rPr>
                <w:rFonts w:cs="Times New Roman"/>
                <w:szCs w:val="20"/>
                <w:lang w:val="en-US"/>
              </w:rPr>
            </w:pPr>
            <w:bookmarkStart w:id="6" w:name="_Toc51774011"/>
            <w:bookmarkStart w:id="7" w:name="_Toc19796374"/>
            <w:bookmarkStart w:id="8" w:name="_Toc29230244"/>
            <w:bookmarkStart w:id="9" w:name="_Toc45107342"/>
            <w:bookmarkStart w:id="10" w:name="_Toc36026503"/>
            <w:bookmarkStart w:id="11" w:name="_Toc26459600"/>
            <w:bookmarkStart w:id="12" w:name="_Toc106014700"/>
            <w:r>
              <w:rPr>
                <w:rFonts w:cs="Times New Roman"/>
                <w:b/>
                <w:bCs/>
                <w:color w:val="FF0000"/>
                <w:szCs w:val="20"/>
                <w:lang w:val="en-US"/>
              </w:rPr>
              <w:t>&lt; Unchanged text omitted &gt;</w:t>
            </w:r>
          </w:p>
          <w:p w14:paraId="78779861" w14:textId="77777777" w:rsidR="00A9147D" w:rsidRDefault="00A9147D">
            <w:pPr>
              <w:rPr>
                <w:rFonts w:cs="Times New Roman"/>
                <w:b/>
                <w:bCs/>
                <w:szCs w:val="20"/>
                <w:lang w:val="en-US"/>
              </w:rPr>
            </w:pPr>
          </w:p>
          <w:p w14:paraId="1F1DA92B" w14:textId="77777777" w:rsidR="00A9147D" w:rsidRDefault="00000000">
            <w:pPr>
              <w:rPr>
                <w:rFonts w:cs="Times New Roman"/>
                <w:b/>
                <w:bCs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Cs w:val="20"/>
                <w:lang w:val="en-US"/>
              </w:rPr>
              <w:t>3.3</w:t>
            </w:r>
            <w:r>
              <w:rPr>
                <w:rFonts w:cs="Times New Roman"/>
                <w:b/>
                <w:bCs/>
                <w:szCs w:val="20"/>
                <w:lang w:val="en-US"/>
              </w:rPr>
              <w:tab/>
              <w:t>Abbreviations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14:paraId="4FEF87B3" w14:textId="77777777" w:rsidR="00A9147D" w:rsidRDefault="00000000">
            <w:pPr>
              <w:pStyle w:val="EW"/>
            </w:pPr>
            <w:r>
              <w:t>IAB-MT</w:t>
            </w:r>
            <w:r>
              <w:tab/>
              <w:t xml:space="preserve">IAB mobile termination </w:t>
            </w:r>
          </w:p>
          <w:p w14:paraId="3335B6E5" w14:textId="77777777" w:rsidR="00A9147D" w:rsidRDefault="00000000">
            <w:pPr>
              <w:pStyle w:val="EW"/>
            </w:pPr>
            <w:r>
              <w:t>IE</w:t>
            </w:r>
            <w:r>
              <w:tab/>
              <w:t>Information element</w:t>
            </w:r>
          </w:p>
          <w:p w14:paraId="2EB63301" w14:textId="77777777" w:rsidR="00A9147D" w:rsidRDefault="00000000">
            <w:pPr>
              <w:pStyle w:val="EW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 xml:space="preserve">NCR-MT             </w:t>
            </w:r>
            <w:r>
              <w:rPr>
                <w:color w:val="FF0000"/>
              </w:rPr>
              <w:t>Network controlled repeater</w:t>
            </w:r>
            <w:r>
              <w:rPr>
                <w:rFonts w:hint="eastAsia"/>
                <w:color w:val="FF0000"/>
                <w:lang w:eastAsia="zh-CN"/>
              </w:rPr>
              <w:t xml:space="preserve"> - </w:t>
            </w:r>
            <w:r>
              <w:rPr>
                <w:color w:val="FF0000"/>
              </w:rPr>
              <w:t>mobile termination</w:t>
            </w:r>
          </w:p>
          <w:p w14:paraId="1ECF6F9A" w14:textId="77777777" w:rsidR="00A9147D" w:rsidRDefault="00000000">
            <w:pPr>
              <w:pStyle w:val="EW"/>
            </w:pPr>
            <w:r>
              <w:t>PBCH</w:t>
            </w:r>
            <w:r>
              <w:tab/>
              <w:t>Physical broadcast channel</w:t>
            </w:r>
          </w:p>
          <w:p w14:paraId="16F9304E" w14:textId="77777777" w:rsidR="00A9147D" w:rsidRDefault="00A9147D">
            <w:pPr>
              <w:jc w:val="left"/>
              <w:rPr>
                <w:rFonts w:cs="Times New Roman"/>
                <w:color w:val="FF0000"/>
                <w:szCs w:val="20"/>
                <w:lang w:val="en-US"/>
              </w:rPr>
            </w:pPr>
          </w:p>
          <w:p w14:paraId="70BECD24" w14:textId="77777777" w:rsidR="00A9147D" w:rsidRDefault="00000000">
            <w:pPr>
              <w:jc w:val="center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color w:val="FF0000"/>
                <w:szCs w:val="20"/>
                <w:lang w:val="en-US"/>
              </w:rPr>
              <w:t>&lt; Unchanged text omitted &gt;</w:t>
            </w:r>
          </w:p>
          <w:p w14:paraId="62D0CFBE" w14:textId="77777777" w:rsidR="00A9147D" w:rsidRDefault="00A9147D">
            <w:pPr>
              <w:rPr>
                <w:rFonts w:cs="Times New Roman"/>
                <w:szCs w:val="20"/>
                <w:lang w:val="en-US"/>
              </w:rPr>
            </w:pPr>
          </w:p>
          <w:p w14:paraId="7FBE9AFD" w14:textId="77777777" w:rsidR="00A9147D" w:rsidRDefault="00000000">
            <w:pPr>
              <w:rPr>
                <w:rFonts w:cs="Times New Roman"/>
                <w:b/>
                <w:bCs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Cs w:val="20"/>
                <w:lang w:val="en-US"/>
              </w:rPr>
              <w:t>4.1</w:t>
            </w:r>
            <w:r>
              <w:rPr>
                <w:rFonts w:cs="Times New Roman"/>
                <w:b/>
                <w:bCs/>
                <w:szCs w:val="20"/>
                <w:lang w:val="en-US"/>
              </w:rPr>
              <w:tab/>
              <w:t>General</w:t>
            </w:r>
          </w:p>
          <w:p w14:paraId="4E4CDC7D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 xml:space="preserve">Throughout this specification, unless otherwise noted, the size of various fields in the time domain is expressed in time units </w:t>
            </w:r>
            <w:r>
              <w:rPr>
                <w:position w:val="-10"/>
              </w:rPr>
              <w:object w:dxaOrig="1573" w:dyaOrig="332" w14:anchorId="7FA242BF">
                <v:shape id="_x0000_i1037" type="#_x0000_t75" style="width:78.5pt;height:16.5pt" o:ole="">
                  <v:imagedata r:id="rId8" o:title=""/>
                </v:shape>
                <o:OLEObject Type="Embed" ProgID="Equation.3" ShapeID="_x0000_i1037" DrawAspect="Content" ObjectID="_1758374908" r:id="rId26"/>
              </w:object>
            </w:r>
            <w:r>
              <w:rPr>
                <w:rFonts w:cs="Times New Roman"/>
                <w:szCs w:val="20"/>
                <w:lang w:val="en-US"/>
              </w:rPr>
              <w:t xml:space="preserve"> where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  <w:lang w:val="en-US"/>
                </w:rPr>
                <m:t>Δ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val="en-US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 w:cs="Times New Roman"/>
                      <w:szCs w:val="20"/>
                      <w:lang w:val="en-US"/>
                    </w:rPr>
                    <m:t>max</m:t>
                  </m:r>
                </m:sub>
              </m:sSub>
              <m:r>
                <w:rPr>
                  <w:rFonts w:ascii="Cambria Math" w:hAnsi="Cambria Math" w:cs="Times New Roman"/>
                  <w:szCs w:val="20"/>
                  <w:lang w:val="en-US"/>
                </w:rPr>
                <m:t>=480∙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Cs w:val="20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0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Cs w:val="20"/>
                      <w:lang w:val="en-US"/>
                    </w:rPr>
                    <m:t>3</m:t>
                  </m:r>
                </m:sup>
              </m:sSup>
            </m:oMath>
            <w:r>
              <w:rPr>
                <w:rFonts w:cs="Times New Roman"/>
                <w:szCs w:val="20"/>
                <w:lang w:val="en-US"/>
              </w:rPr>
              <w:t xml:space="preserve"> Hz and </w:t>
            </w:r>
            <w:r>
              <w:rPr>
                <w:position w:val="-10"/>
              </w:rPr>
              <w:object w:dxaOrig="930" w:dyaOrig="332" w14:anchorId="0EE7A4E8">
                <v:shape id="_x0000_i1038" type="#_x0000_t75" style="width:46.5pt;height:16.5pt" o:ole="">
                  <v:imagedata r:id="rId10" o:title=""/>
                </v:shape>
                <o:OLEObject Type="Embed" ProgID="Equation.3" ShapeID="_x0000_i1038" DrawAspect="Content" ObjectID="_1758374909" r:id="rId27"/>
              </w:object>
            </w:r>
            <w:r>
              <w:rPr>
                <w:rFonts w:cs="Times New Roman"/>
                <w:szCs w:val="20"/>
                <w:lang w:val="en-US"/>
              </w:rPr>
              <w:t xml:space="preserve">. The constant </w:t>
            </w:r>
            <w:r>
              <w:rPr>
                <w:position w:val="-10"/>
              </w:rPr>
              <w:object w:dxaOrig="1263" w:dyaOrig="299" w14:anchorId="67AE1426">
                <v:shape id="_x0000_i1039" type="#_x0000_t75" style="width:63pt;height:15pt" o:ole="">
                  <v:imagedata r:id="rId12" o:title=""/>
                </v:shape>
                <o:OLEObject Type="Embed" ProgID="Equation.3" ShapeID="_x0000_i1039" DrawAspect="Content" ObjectID="_1758374910" r:id="rId28"/>
              </w:object>
            </w:r>
            <w:r>
              <w:rPr>
                <w:rFonts w:cs="Times New Roman"/>
                <w:szCs w:val="20"/>
                <w:lang w:val="en-US"/>
              </w:rPr>
              <w:t xml:space="preserve"> where </w:t>
            </w:r>
            <w:r>
              <w:rPr>
                <w:position w:val="-12"/>
              </w:rPr>
              <w:object w:dxaOrig="1684" w:dyaOrig="332" w14:anchorId="1C47D4AB">
                <v:shape id="_x0000_i1040" type="#_x0000_t75" style="width:84pt;height:16.5pt" o:ole="">
                  <v:imagedata r:id="rId14" o:title=""/>
                </v:shape>
                <o:OLEObject Type="Embed" ProgID="Equation.3" ShapeID="_x0000_i1040" DrawAspect="Content" ObjectID="_1758374911" r:id="rId29"/>
              </w:object>
            </w:r>
            <w:r>
              <w:rPr>
                <w:rFonts w:cs="Times New Roman"/>
                <w:szCs w:val="20"/>
                <w:lang w:val="en-US"/>
              </w:rPr>
              <w:t xml:space="preserve">, </w:t>
            </w:r>
            <w:r>
              <w:rPr>
                <w:position w:val="-10"/>
              </w:rPr>
              <w:object w:dxaOrig="1495" w:dyaOrig="354" w14:anchorId="0AB655F4">
                <v:shape id="_x0000_i1041" type="#_x0000_t75" style="width:75pt;height:17.5pt" o:ole="">
                  <v:imagedata r:id="rId16" o:title=""/>
                </v:shape>
                <o:OLEObject Type="Embed" ProgID="Equation.3" ShapeID="_x0000_i1041" DrawAspect="Content" ObjectID="_1758374912" r:id="rId30"/>
              </w:object>
            </w:r>
            <w:r>
              <w:rPr>
                <w:rFonts w:cs="Times New Roman"/>
                <w:szCs w:val="20"/>
                <w:lang w:val="en-US"/>
              </w:rPr>
              <w:t xml:space="preserve"> and </w:t>
            </w:r>
            <w:r>
              <w:rPr>
                <w:position w:val="-12"/>
              </w:rPr>
              <w:object w:dxaOrig="1119" w:dyaOrig="332" w14:anchorId="100C1D1A">
                <v:shape id="_x0000_i1042" type="#_x0000_t75" style="width:56pt;height:16.5pt" o:ole="">
                  <v:imagedata r:id="rId18" o:title=""/>
                </v:shape>
                <o:OLEObject Type="Embed" ProgID="Equation.3" ShapeID="_x0000_i1042" DrawAspect="Content" ObjectID="_1758374913" r:id="rId31"/>
              </w:object>
            </w:r>
            <w:r>
              <w:rPr>
                <w:rFonts w:cs="Times New Roman"/>
                <w:szCs w:val="20"/>
                <w:lang w:val="en-US"/>
              </w:rPr>
              <w:t>.</w:t>
            </w:r>
          </w:p>
          <w:p w14:paraId="75B3758F" w14:textId="77777777" w:rsidR="00A9147D" w:rsidRDefault="00000000">
            <w:pPr>
              <w:spacing w:after="0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szCs w:val="20"/>
                <w:lang w:val="en-US"/>
              </w:rPr>
              <w:t>Throughout this specification, unless otherwise noted, statements using the term "UE" in clauses 4, 5, 6, or 7 are equally applicable to the IAB-MT part of an IAB-node</w:t>
            </w:r>
            <w:r>
              <w:rPr>
                <w:rFonts w:cs="Times New Roman" w:hint="eastAsia"/>
                <w:color w:val="FF0000"/>
                <w:szCs w:val="20"/>
                <w:lang w:val="en-US"/>
              </w:rPr>
              <w:t xml:space="preserve"> and the NCR-MT</w:t>
            </w:r>
            <w:r>
              <w:rPr>
                <w:rFonts w:cs="Times New Roman"/>
                <w:szCs w:val="20"/>
                <w:lang w:val="en-US"/>
              </w:rPr>
              <w:t xml:space="preserve">. </w:t>
            </w:r>
          </w:p>
          <w:p w14:paraId="00B1DA1A" w14:textId="77777777" w:rsidR="00A9147D" w:rsidRDefault="00000000">
            <w:pPr>
              <w:jc w:val="center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color w:val="FF0000"/>
                <w:szCs w:val="20"/>
                <w:lang w:val="en-US"/>
              </w:rPr>
              <w:t>&lt; Unchanged text omitted &gt;</w:t>
            </w:r>
          </w:p>
          <w:p w14:paraId="4208C155" w14:textId="77777777" w:rsidR="00A9147D" w:rsidRDefault="00A9147D">
            <w:pPr>
              <w:rPr>
                <w:rFonts w:eastAsia="MS Mincho" w:cs="Times"/>
                <w:szCs w:val="20"/>
                <w:lang w:val="en-AU"/>
              </w:rPr>
            </w:pPr>
          </w:p>
        </w:tc>
      </w:tr>
    </w:tbl>
    <w:p w14:paraId="0B6B35A2" w14:textId="77777777" w:rsidR="00A9147D" w:rsidRDefault="00A9147D">
      <w:pPr>
        <w:rPr>
          <w:b/>
          <w:lang w:val="en-US"/>
        </w:rPr>
      </w:pPr>
    </w:p>
    <w:p w14:paraId="2AF54478" w14:textId="77777777" w:rsidR="00A9147D" w:rsidRDefault="00000000">
      <w:pPr>
        <w:pStyle w:val="2"/>
        <w:spacing w:line="240" w:lineRule="auto"/>
        <w:rPr>
          <w:i w:val="0"/>
          <w:iCs w:val="0"/>
        </w:rPr>
      </w:pPr>
      <w:r>
        <w:rPr>
          <w:rFonts w:hint="eastAsia"/>
          <w:i w:val="0"/>
          <w:iCs w:val="0"/>
        </w:rPr>
        <w:t>TP#2</w:t>
      </w:r>
      <w:r>
        <w:rPr>
          <w:i w:val="0"/>
          <w:iCs w:val="0"/>
        </w:rPr>
        <w:t xml:space="preserve"> (ZTE)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147D" w14:paraId="481B627D" w14:textId="77777777">
        <w:tc>
          <w:tcPr>
            <w:tcW w:w="9629" w:type="dxa"/>
          </w:tcPr>
          <w:p w14:paraId="1E508769" w14:textId="77777777" w:rsidR="00A9147D" w:rsidRDefault="00000000">
            <w:pPr>
              <w:pStyle w:val="CRCoverPage"/>
              <w:spacing w:after="0" w:line="240" w:lineRule="auto"/>
              <w:rPr>
                <w:rFonts w:ascii="Times New Roman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hAnsi="Times New Roman"/>
                <w:b/>
                <w:bCs/>
                <w:iCs/>
                <w:lang w:val="en-US" w:eastAsia="zh-CN"/>
              </w:rPr>
              <w:t xml:space="preserve">Reason for change: </w:t>
            </w:r>
          </w:p>
          <w:p w14:paraId="12679C7E" w14:textId="77777777" w:rsidR="00A9147D" w:rsidRDefault="00000000">
            <w:pPr>
              <w:rPr>
                <w:rFonts w:cs="Times New Roman"/>
                <w:iCs/>
                <w:szCs w:val="20"/>
                <w:lang w:val="en-US"/>
              </w:rPr>
            </w:pPr>
            <w:r>
              <w:rPr>
                <w:rFonts w:cs="Times New Roman" w:hint="eastAsia"/>
                <w:iCs/>
                <w:szCs w:val="20"/>
                <w:lang w:val="en-US"/>
              </w:rPr>
              <w:t>In TS</w:t>
            </w:r>
            <w:r>
              <w:rPr>
                <w:rFonts w:cs="Times New Roman"/>
                <w:iCs/>
                <w:szCs w:val="20"/>
                <w:lang w:val="en-US"/>
              </w:rPr>
              <w:t>38.2</w:t>
            </w:r>
            <w:r>
              <w:rPr>
                <w:rFonts w:cs="Times New Roman" w:hint="eastAsia"/>
                <w:iCs/>
                <w:szCs w:val="20"/>
                <w:lang w:val="en-US"/>
              </w:rPr>
              <w:t xml:space="preserve">14, the statements using the term </w:t>
            </w:r>
            <w:r>
              <w:rPr>
                <w:rFonts w:cs="Times New Roman"/>
                <w:iCs/>
                <w:szCs w:val="20"/>
                <w:lang w:val="en-US"/>
              </w:rPr>
              <w:t>“</w:t>
            </w:r>
            <w:r>
              <w:rPr>
                <w:rFonts w:cs="Times New Roman" w:hint="eastAsia"/>
                <w:iCs/>
                <w:szCs w:val="20"/>
                <w:lang w:val="en-US"/>
              </w:rPr>
              <w:t>UE</w:t>
            </w:r>
            <w:r>
              <w:rPr>
                <w:rFonts w:cs="Times New Roman"/>
                <w:iCs/>
                <w:szCs w:val="20"/>
                <w:lang w:val="en-US"/>
              </w:rPr>
              <w:t>”</w:t>
            </w:r>
            <w:r>
              <w:rPr>
                <w:rFonts w:cs="Times New Roman" w:hint="eastAsia"/>
                <w:iCs/>
                <w:szCs w:val="20"/>
                <w:lang w:val="en-US"/>
              </w:rPr>
              <w:t xml:space="preserve"> are equally applicable to the IAB-MT. Similarly, NCR-MT</w:t>
            </w:r>
            <w:r>
              <w:rPr>
                <w:rFonts w:cs="Times New Roman"/>
                <w:iCs/>
                <w:szCs w:val="20"/>
                <w:lang w:val="en-US"/>
              </w:rPr>
              <w:t>’</w:t>
            </w:r>
            <w:r>
              <w:rPr>
                <w:rFonts w:cs="Times New Roman" w:hint="eastAsia"/>
                <w:iCs/>
                <w:szCs w:val="20"/>
                <w:lang w:val="en-US"/>
              </w:rPr>
              <w:t xml:space="preserve">s behavior is also similar as UE, following the same logic, the statements using the term </w:t>
            </w:r>
            <w:r>
              <w:rPr>
                <w:rFonts w:cs="Times New Roman"/>
                <w:iCs/>
                <w:szCs w:val="20"/>
                <w:lang w:val="en-US"/>
              </w:rPr>
              <w:t>“</w:t>
            </w:r>
            <w:r>
              <w:rPr>
                <w:rFonts w:cs="Times New Roman" w:hint="eastAsia"/>
                <w:iCs/>
                <w:szCs w:val="20"/>
                <w:lang w:val="en-US"/>
              </w:rPr>
              <w:t>UE</w:t>
            </w:r>
            <w:r>
              <w:rPr>
                <w:rFonts w:cs="Times New Roman"/>
                <w:iCs/>
                <w:szCs w:val="20"/>
                <w:lang w:val="en-US"/>
              </w:rPr>
              <w:t>”</w:t>
            </w:r>
            <w:r>
              <w:rPr>
                <w:rFonts w:cs="Times New Roman" w:hint="eastAsia"/>
                <w:iCs/>
                <w:szCs w:val="20"/>
                <w:lang w:val="en-US"/>
              </w:rPr>
              <w:t xml:space="preserve"> are also equally applicable to the NCR-MT unless otherwise noted.</w:t>
            </w:r>
          </w:p>
          <w:p w14:paraId="2BEB3CFB" w14:textId="77777777" w:rsidR="00A9147D" w:rsidRDefault="00000000">
            <w:pPr>
              <w:rPr>
                <w:rFonts w:cs="Times New Roman"/>
                <w:b/>
                <w:bCs/>
                <w:iCs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iCs/>
                <w:szCs w:val="20"/>
                <w:lang w:val="en-US"/>
              </w:rPr>
              <w:t>Summary of change:</w:t>
            </w:r>
          </w:p>
          <w:p w14:paraId="7A8F2D4A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 w:hint="eastAsia"/>
                <w:szCs w:val="20"/>
                <w:lang w:val="en-US"/>
              </w:rPr>
              <w:t>In TS38.214, clause 3.3, the definition of NCR-MT is added.</w:t>
            </w:r>
          </w:p>
          <w:p w14:paraId="61C9745B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 w:hint="eastAsia"/>
                <w:szCs w:val="20"/>
                <w:lang w:val="en-US"/>
              </w:rPr>
              <w:t xml:space="preserve">In clause 4, </w:t>
            </w:r>
            <w:r>
              <w:rPr>
                <w:rFonts w:cs="Times New Roman"/>
                <w:szCs w:val="20"/>
                <w:lang w:val="en-US"/>
              </w:rPr>
              <w:t>“</w:t>
            </w:r>
            <w:r>
              <w:rPr>
                <w:rFonts w:cs="Times New Roman" w:hint="eastAsia"/>
                <w:szCs w:val="20"/>
                <w:lang w:val="en-US"/>
              </w:rPr>
              <w:t>and the NCR-MT</w:t>
            </w:r>
            <w:r>
              <w:rPr>
                <w:rFonts w:cs="Times New Roman"/>
                <w:szCs w:val="20"/>
                <w:lang w:val="en-US"/>
              </w:rPr>
              <w:t>”</w:t>
            </w:r>
            <w:r>
              <w:rPr>
                <w:rFonts w:cs="Times New Roman" w:hint="eastAsia"/>
                <w:szCs w:val="20"/>
                <w:lang w:val="en-US"/>
              </w:rPr>
              <w:t xml:space="preserve"> is added after </w:t>
            </w:r>
            <w:r>
              <w:rPr>
                <w:rFonts w:cs="Times New Roman"/>
                <w:szCs w:val="20"/>
                <w:lang w:val="en-US"/>
              </w:rPr>
              <w:t>“Throughout this specification, unless otherwise noted, statements using the term "UE" in clauses 4, 5, or 6 are equally applicable to the IAB-MT part of an IAB node”</w:t>
            </w:r>
            <w:r>
              <w:rPr>
                <w:rFonts w:cs="Times New Roman" w:hint="eastAsia"/>
                <w:szCs w:val="20"/>
                <w:lang w:val="en-US"/>
              </w:rPr>
              <w:t>.</w:t>
            </w:r>
          </w:p>
          <w:p w14:paraId="0881A64C" w14:textId="77777777" w:rsidR="00A9147D" w:rsidRDefault="00000000">
            <w:pPr>
              <w:rPr>
                <w:rFonts w:cs="Times New Roman"/>
                <w:b/>
                <w:bCs/>
                <w:iCs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iCs/>
                <w:szCs w:val="20"/>
                <w:lang w:val="en-US"/>
              </w:rPr>
              <w:lastRenderedPageBreak/>
              <w:t>Consequences if not approved:</w:t>
            </w:r>
          </w:p>
          <w:p w14:paraId="70D55FEA" w14:textId="77777777" w:rsidR="00A9147D" w:rsidRDefault="00000000">
            <w:pPr>
              <w:pBdr>
                <w:bottom w:val="double" w:sz="6" w:space="1" w:color="auto"/>
              </w:pBd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iCs/>
                <w:szCs w:val="20"/>
                <w:lang w:val="en-US"/>
              </w:rPr>
              <w:t xml:space="preserve">The </w:t>
            </w:r>
            <w:r>
              <w:rPr>
                <w:rFonts w:cs="Times New Roman" w:hint="eastAsia"/>
                <w:iCs/>
                <w:szCs w:val="20"/>
                <w:lang w:val="en-US"/>
              </w:rPr>
              <w:t>behavior of NCR-MT is not clear.</w:t>
            </w:r>
          </w:p>
          <w:p w14:paraId="44CD7796" w14:textId="77777777" w:rsidR="00A9147D" w:rsidRDefault="00000000">
            <w:pPr>
              <w:jc w:val="center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color w:val="FF0000"/>
                <w:szCs w:val="20"/>
                <w:lang w:val="en-US"/>
              </w:rPr>
              <w:t>&lt; Unchanged text omitted &gt;</w:t>
            </w:r>
          </w:p>
          <w:p w14:paraId="19719EC5" w14:textId="77777777" w:rsidR="00A9147D" w:rsidRDefault="00A9147D">
            <w:pPr>
              <w:rPr>
                <w:rFonts w:cs="Times New Roman"/>
                <w:b/>
                <w:bCs/>
                <w:szCs w:val="20"/>
                <w:lang w:val="en-US"/>
              </w:rPr>
            </w:pPr>
          </w:p>
          <w:p w14:paraId="36E4A6E9" w14:textId="77777777" w:rsidR="00A9147D" w:rsidRDefault="00000000">
            <w:pPr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szCs w:val="20"/>
                <w:lang w:val="en-US"/>
              </w:rPr>
              <w:t>3.3</w:t>
            </w:r>
            <w:r>
              <w:rPr>
                <w:rFonts w:cs="Times New Roman"/>
                <w:b/>
                <w:bCs/>
                <w:szCs w:val="20"/>
                <w:lang w:val="en-US"/>
              </w:rPr>
              <w:tab/>
              <w:t>Abbreviations</w:t>
            </w:r>
          </w:p>
          <w:p w14:paraId="7CE40D16" w14:textId="77777777" w:rsidR="00A9147D" w:rsidRDefault="00000000">
            <w:pPr>
              <w:pStyle w:val="EW"/>
            </w:pPr>
            <w:r>
              <w:t>IAB-MT</w:t>
            </w:r>
            <w:r>
              <w:tab/>
              <w:t xml:space="preserve">Integrated Access and Backhaul – Mobile Terminal </w:t>
            </w:r>
          </w:p>
          <w:p w14:paraId="53D6FA08" w14:textId="77777777" w:rsidR="00A9147D" w:rsidRDefault="00000000">
            <w:pPr>
              <w:pStyle w:val="EW"/>
            </w:pPr>
            <w:r>
              <w:t>L1-RSRP</w:t>
            </w:r>
            <w:r>
              <w:tab/>
              <w:t>Layer 1 reference signal received power</w:t>
            </w:r>
          </w:p>
          <w:p w14:paraId="7942D441" w14:textId="77777777" w:rsidR="00A9147D" w:rsidRDefault="00000000">
            <w:pPr>
              <w:pStyle w:val="EW"/>
            </w:pPr>
            <w:r>
              <w:t>LI</w:t>
            </w:r>
            <w:r>
              <w:tab/>
              <w:t>Layer Indicator</w:t>
            </w:r>
          </w:p>
          <w:p w14:paraId="13D5A92B" w14:textId="77777777" w:rsidR="00A9147D" w:rsidRDefault="00000000">
            <w:pPr>
              <w:pStyle w:val="EW"/>
            </w:pPr>
            <w:r>
              <w:t>MCS</w:t>
            </w:r>
            <w:r>
              <w:tab/>
              <w:t>Modulation and coding scheme</w:t>
            </w:r>
          </w:p>
          <w:p w14:paraId="06C78B4D" w14:textId="77777777" w:rsidR="00A9147D" w:rsidRDefault="00000000">
            <w:pPr>
              <w:pStyle w:val="EW"/>
            </w:pPr>
            <w:r>
              <w:rPr>
                <w:rFonts w:hint="eastAsia"/>
                <w:color w:val="FF0000"/>
                <w:lang w:eastAsia="zh-CN"/>
              </w:rPr>
              <w:t xml:space="preserve">NCR-MT             </w:t>
            </w:r>
            <w:r>
              <w:rPr>
                <w:color w:val="FF0000"/>
              </w:rPr>
              <w:t>Network controlled repeater</w:t>
            </w:r>
            <w:r>
              <w:rPr>
                <w:rFonts w:hint="eastAsia"/>
                <w:color w:val="FF0000"/>
                <w:lang w:eastAsia="zh-CN"/>
              </w:rPr>
              <w:t xml:space="preserve"> - </w:t>
            </w:r>
            <w:r>
              <w:rPr>
                <w:color w:val="FF0000"/>
              </w:rPr>
              <w:t>mobile termination</w:t>
            </w:r>
          </w:p>
          <w:p w14:paraId="3037B0B0" w14:textId="77777777" w:rsidR="00A9147D" w:rsidRDefault="00000000">
            <w:pPr>
              <w:pStyle w:val="EW"/>
              <w:rPr>
                <w:b/>
                <w:bCs/>
                <w:color w:val="FF0000"/>
                <w:lang w:eastAsia="zh-CN"/>
              </w:rPr>
            </w:pPr>
            <w:r>
              <w:t>PDCCH</w:t>
            </w:r>
            <w:r>
              <w:tab/>
              <w:t>Physical downlink control channel</w:t>
            </w:r>
          </w:p>
          <w:p w14:paraId="63820DC0" w14:textId="77777777" w:rsidR="00A9147D" w:rsidRDefault="00A9147D">
            <w:pPr>
              <w:jc w:val="center"/>
              <w:rPr>
                <w:rFonts w:cs="Times New Roman"/>
                <w:b/>
                <w:bCs/>
                <w:color w:val="FF0000"/>
                <w:szCs w:val="20"/>
                <w:lang w:val="en-US"/>
              </w:rPr>
            </w:pPr>
          </w:p>
          <w:p w14:paraId="0F567956" w14:textId="77777777" w:rsidR="00A9147D" w:rsidRDefault="00000000">
            <w:pPr>
              <w:jc w:val="center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color w:val="FF0000"/>
                <w:szCs w:val="20"/>
                <w:lang w:val="en-US"/>
              </w:rPr>
              <w:t>&lt; Unchanged text omitted &gt;</w:t>
            </w:r>
          </w:p>
          <w:p w14:paraId="03799204" w14:textId="77777777" w:rsidR="00A9147D" w:rsidRDefault="00A9147D">
            <w:pPr>
              <w:rPr>
                <w:rFonts w:cs="Times New Roman"/>
                <w:szCs w:val="20"/>
                <w:lang w:val="en-US"/>
              </w:rPr>
            </w:pPr>
          </w:p>
          <w:p w14:paraId="69E358A6" w14:textId="77777777" w:rsidR="00A9147D" w:rsidRDefault="00000000">
            <w:pPr>
              <w:rPr>
                <w:rFonts w:cs="Times New Roman"/>
                <w:b/>
                <w:bCs/>
                <w:szCs w:val="20"/>
                <w:lang w:val="en-US"/>
              </w:rPr>
            </w:pPr>
            <w:bookmarkStart w:id="13" w:name="_Toc11352077"/>
            <w:bookmarkStart w:id="14" w:name="_Toc29674264"/>
            <w:bookmarkStart w:id="15" w:name="_Toc29673130"/>
            <w:bookmarkStart w:id="16" w:name="_Toc122105088"/>
            <w:bookmarkStart w:id="17" w:name="_Toc36645494"/>
            <w:bookmarkStart w:id="18" w:name="_Toc45810539"/>
            <w:bookmarkStart w:id="19" w:name="_Toc29673271"/>
            <w:bookmarkStart w:id="20" w:name="_Toc20317967"/>
            <w:bookmarkStart w:id="21" w:name="_Toc27299865"/>
            <w:r>
              <w:rPr>
                <w:rFonts w:cs="Times New Roman"/>
                <w:b/>
                <w:bCs/>
                <w:szCs w:val="20"/>
                <w:lang w:val="en-US"/>
              </w:rPr>
              <w:t>4</w:t>
            </w:r>
            <w:r>
              <w:rPr>
                <w:rFonts w:cs="Times New Roman"/>
                <w:b/>
                <w:bCs/>
                <w:szCs w:val="20"/>
                <w:lang w:val="en-US"/>
              </w:rPr>
              <w:tab/>
              <w:t>Power control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r>
              <w:rPr>
                <w:rFonts w:cs="Times New Roman"/>
                <w:b/>
                <w:bCs/>
                <w:szCs w:val="20"/>
                <w:lang w:val="en-US"/>
              </w:rPr>
              <w:t xml:space="preserve"> </w:t>
            </w:r>
          </w:p>
          <w:p w14:paraId="51CCD728" w14:textId="77777777" w:rsidR="00A9147D" w:rsidRDefault="00000000">
            <w:pPr>
              <w:rPr>
                <w:rFonts w:cs="Times New Roman"/>
                <w:color w:val="000000"/>
                <w:szCs w:val="20"/>
                <w:lang w:val="en-US"/>
              </w:rPr>
            </w:pPr>
            <w:bookmarkStart w:id="22" w:name="_Hlk29460288"/>
            <w:r>
              <w:rPr>
                <w:rFonts w:cs="Times New Roman"/>
                <w:szCs w:val="20"/>
                <w:lang w:val="en-US"/>
              </w:rPr>
              <w:t>Throughout this specification, unless otherwise noted, statements using the term "UE" in clauses 4, 5, or 6 are equally applicable to the IAB-MT part of an IAB node</w:t>
            </w:r>
            <w:r>
              <w:rPr>
                <w:rFonts w:cs="Times New Roman" w:hint="eastAsia"/>
                <w:color w:val="FF0000"/>
                <w:szCs w:val="20"/>
                <w:lang w:val="en-US"/>
              </w:rPr>
              <w:t xml:space="preserve"> and the NCR-MT</w:t>
            </w:r>
            <w:r>
              <w:rPr>
                <w:rFonts w:cs="Times New Roman"/>
                <w:szCs w:val="20"/>
                <w:lang w:val="en-US"/>
              </w:rPr>
              <w:t>.</w:t>
            </w:r>
          </w:p>
          <w:bookmarkEnd w:id="22"/>
          <w:p w14:paraId="3A67073A" w14:textId="77777777" w:rsidR="00A9147D" w:rsidRDefault="00000000">
            <w:pPr>
              <w:jc w:val="center"/>
              <w:rPr>
                <w:rFonts w:cs="Times New Roman"/>
                <w:szCs w:val="20"/>
                <w:lang w:val="en-US"/>
              </w:rPr>
            </w:pPr>
            <w:r>
              <w:rPr>
                <w:rFonts w:cs="Times New Roman"/>
                <w:b/>
                <w:bCs/>
                <w:color w:val="FF0000"/>
                <w:szCs w:val="20"/>
                <w:lang w:val="en-US"/>
              </w:rPr>
              <w:t>&lt; Unchanged text omitted &gt;</w:t>
            </w:r>
          </w:p>
          <w:p w14:paraId="1D8D12EA" w14:textId="77777777" w:rsidR="00A9147D" w:rsidRDefault="00A9147D">
            <w:pPr>
              <w:rPr>
                <w:rFonts w:eastAsia="MS Mincho" w:cs="Times"/>
                <w:szCs w:val="20"/>
                <w:lang w:val="en-AU"/>
              </w:rPr>
            </w:pPr>
          </w:p>
        </w:tc>
      </w:tr>
    </w:tbl>
    <w:p w14:paraId="5D9E3A30" w14:textId="77777777" w:rsidR="00A9147D" w:rsidRDefault="00A9147D"/>
    <w:sectPr w:rsidR="00A9147D">
      <w:footerReference w:type="default" r:id="rId3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FDA92" w14:textId="77777777" w:rsidR="000E0F4D" w:rsidRDefault="000E0F4D">
      <w:r>
        <w:separator/>
      </w:r>
    </w:p>
  </w:endnote>
  <w:endnote w:type="continuationSeparator" w:id="0">
    <w:p w14:paraId="6F0CE2E5" w14:textId="77777777" w:rsidR="000E0F4D" w:rsidRDefault="000E0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845445"/>
      <w:docPartObj>
        <w:docPartGallery w:val="AutoText"/>
      </w:docPartObj>
    </w:sdtPr>
    <w:sdtContent>
      <w:p w14:paraId="1233CA7D" w14:textId="77777777" w:rsidR="00A9147D" w:rsidRDefault="000000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E0BB5" w14:textId="77777777" w:rsidR="000E0F4D" w:rsidRDefault="000E0F4D">
      <w:pPr>
        <w:spacing w:after="0"/>
      </w:pPr>
      <w:r>
        <w:separator/>
      </w:r>
    </w:p>
  </w:footnote>
  <w:footnote w:type="continuationSeparator" w:id="0">
    <w:p w14:paraId="7AC4ECF3" w14:textId="77777777" w:rsidR="000E0F4D" w:rsidRDefault="000E0F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0566A"/>
    <w:multiLevelType w:val="multilevel"/>
    <w:tmpl w:val="21E0566A"/>
    <w:lvl w:ilvl="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7A5183"/>
    <w:multiLevelType w:val="multilevel"/>
    <w:tmpl w:val="437A518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num w:numId="1" w16cid:durableId="879704420">
    <w:abstractNumId w:val="2"/>
  </w:num>
  <w:num w:numId="2" w16cid:durableId="1917474451">
    <w:abstractNumId w:val="1"/>
  </w:num>
  <w:num w:numId="3" w16cid:durableId="1582060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1F7"/>
    <w:rsid w:val="00003524"/>
    <w:rsid w:val="000073AA"/>
    <w:rsid w:val="0001171C"/>
    <w:rsid w:val="00013B0E"/>
    <w:rsid w:val="000157A2"/>
    <w:rsid w:val="000228D9"/>
    <w:rsid w:val="00024278"/>
    <w:rsid w:val="00024FFC"/>
    <w:rsid w:val="00025570"/>
    <w:rsid w:val="00026914"/>
    <w:rsid w:val="00026C1B"/>
    <w:rsid w:val="00027554"/>
    <w:rsid w:val="000336CC"/>
    <w:rsid w:val="00033E5D"/>
    <w:rsid w:val="00035710"/>
    <w:rsid w:val="0004016D"/>
    <w:rsid w:val="000409F3"/>
    <w:rsid w:val="00040FEF"/>
    <w:rsid w:val="00044320"/>
    <w:rsid w:val="00044362"/>
    <w:rsid w:val="00044A1C"/>
    <w:rsid w:val="00045366"/>
    <w:rsid w:val="000471A8"/>
    <w:rsid w:val="00051A75"/>
    <w:rsid w:val="0005221C"/>
    <w:rsid w:val="00056931"/>
    <w:rsid w:val="00057F77"/>
    <w:rsid w:val="00060F23"/>
    <w:rsid w:val="000645E7"/>
    <w:rsid w:val="000700FF"/>
    <w:rsid w:val="00073275"/>
    <w:rsid w:val="0007345D"/>
    <w:rsid w:val="00083FFE"/>
    <w:rsid w:val="00085986"/>
    <w:rsid w:val="000923E8"/>
    <w:rsid w:val="00092823"/>
    <w:rsid w:val="00092EEC"/>
    <w:rsid w:val="0009717F"/>
    <w:rsid w:val="000A174A"/>
    <w:rsid w:val="000A1C06"/>
    <w:rsid w:val="000A7F05"/>
    <w:rsid w:val="000B10F2"/>
    <w:rsid w:val="000B413D"/>
    <w:rsid w:val="000B7514"/>
    <w:rsid w:val="000C3346"/>
    <w:rsid w:val="000C653F"/>
    <w:rsid w:val="000D0AEE"/>
    <w:rsid w:val="000D2586"/>
    <w:rsid w:val="000D2908"/>
    <w:rsid w:val="000E0F4D"/>
    <w:rsid w:val="000E1BF8"/>
    <w:rsid w:val="000E20BC"/>
    <w:rsid w:val="000E5A19"/>
    <w:rsid w:val="000E5EF0"/>
    <w:rsid w:val="000E611B"/>
    <w:rsid w:val="000E6472"/>
    <w:rsid w:val="000F1537"/>
    <w:rsid w:val="000F5242"/>
    <w:rsid w:val="00101CAC"/>
    <w:rsid w:val="00105F6C"/>
    <w:rsid w:val="00106258"/>
    <w:rsid w:val="001156F5"/>
    <w:rsid w:val="00116919"/>
    <w:rsid w:val="00120034"/>
    <w:rsid w:val="00122445"/>
    <w:rsid w:val="00122911"/>
    <w:rsid w:val="0012370D"/>
    <w:rsid w:val="00123F63"/>
    <w:rsid w:val="001241A5"/>
    <w:rsid w:val="0012558A"/>
    <w:rsid w:val="00126E36"/>
    <w:rsid w:val="001279BA"/>
    <w:rsid w:val="0013465E"/>
    <w:rsid w:val="0014061C"/>
    <w:rsid w:val="00143A5D"/>
    <w:rsid w:val="00144FF7"/>
    <w:rsid w:val="00145E0B"/>
    <w:rsid w:val="00154256"/>
    <w:rsid w:val="00154534"/>
    <w:rsid w:val="00154DAB"/>
    <w:rsid w:val="001562A3"/>
    <w:rsid w:val="001568C5"/>
    <w:rsid w:val="001577EE"/>
    <w:rsid w:val="00160615"/>
    <w:rsid w:val="00160C11"/>
    <w:rsid w:val="00164507"/>
    <w:rsid w:val="001673A8"/>
    <w:rsid w:val="00170EC8"/>
    <w:rsid w:val="00171127"/>
    <w:rsid w:val="0017195F"/>
    <w:rsid w:val="00175B8D"/>
    <w:rsid w:val="0017761F"/>
    <w:rsid w:val="001802A0"/>
    <w:rsid w:val="00181526"/>
    <w:rsid w:val="001830D0"/>
    <w:rsid w:val="00186D4C"/>
    <w:rsid w:val="0019042A"/>
    <w:rsid w:val="0019070A"/>
    <w:rsid w:val="00192897"/>
    <w:rsid w:val="00192E40"/>
    <w:rsid w:val="00196009"/>
    <w:rsid w:val="001A02AD"/>
    <w:rsid w:val="001A1761"/>
    <w:rsid w:val="001A3D09"/>
    <w:rsid w:val="001A5DAD"/>
    <w:rsid w:val="001B0F5F"/>
    <w:rsid w:val="001B12A7"/>
    <w:rsid w:val="001B48A9"/>
    <w:rsid w:val="001C54FA"/>
    <w:rsid w:val="001D1A24"/>
    <w:rsid w:val="001D1DDB"/>
    <w:rsid w:val="001D2FDC"/>
    <w:rsid w:val="001D4488"/>
    <w:rsid w:val="001D4D5E"/>
    <w:rsid w:val="001E1BDA"/>
    <w:rsid w:val="001E293A"/>
    <w:rsid w:val="001E5663"/>
    <w:rsid w:val="001F116A"/>
    <w:rsid w:val="001F1E7E"/>
    <w:rsid w:val="001F51CA"/>
    <w:rsid w:val="001F6AE9"/>
    <w:rsid w:val="002000B2"/>
    <w:rsid w:val="00201B1F"/>
    <w:rsid w:val="0021117E"/>
    <w:rsid w:val="00215E28"/>
    <w:rsid w:val="00220444"/>
    <w:rsid w:val="00220C3F"/>
    <w:rsid w:val="0022337E"/>
    <w:rsid w:val="002244B1"/>
    <w:rsid w:val="002333EB"/>
    <w:rsid w:val="00234052"/>
    <w:rsid w:val="002344CB"/>
    <w:rsid w:val="00234CB1"/>
    <w:rsid w:val="00237EDF"/>
    <w:rsid w:val="0024470D"/>
    <w:rsid w:val="00245023"/>
    <w:rsid w:val="00245802"/>
    <w:rsid w:val="00246F47"/>
    <w:rsid w:val="002518E1"/>
    <w:rsid w:val="00254F98"/>
    <w:rsid w:val="0026191F"/>
    <w:rsid w:val="00262919"/>
    <w:rsid w:val="00273A98"/>
    <w:rsid w:val="00277DEA"/>
    <w:rsid w:val="00277FDD"/>
    <w:rsid w:val="00280138"/>
    <w:rsid w:val="00280C1C"/>
    <w:rsid w:val="0028288E"/>
    <w:rsid w:val="00287240"/>
    <w:rsid w:val="0029147D"/>
    <w:rsid w:val="002945E1"/>
    <w:rsid w:val="00296F65"/>
    <w:rsid w:val="002971E3"/>
    <w:rsid w:val="00297A4A"/>
    <w:rsid w:val="00297AC9"/>
    <w:rsid w:val="002A150B"/>
    <w:rsid w:val="002A1B62"/>
    <w:rsid w:val="002A2B70"/>
    <w:rsid w:val="002A3296"/>
    <w:rsid w:val="002A3AC4"/>
    <w:rsid w:val="002A7207"/>
    <w:rsid w:val="002A7334"/>
    <w:rsid w:val="002B231F"/>
    <w:rsid w:val="002B46B7"/>
    <w:rsid w:val="002B4F00"/>
    <w:rsid w:val="002B7FB0"/>
    <w:rsid w:val="002C0875"/>
    <w:rsid w:val="002C0E82"/>
    <w:rsid w:val="002C2D68"/>
    <w:rsid w:val="002D0749"/>
    <w:rsid w:val="002D1506"/>
    <w:rsid w:val="002D259E"/>
    <w:rsid w:val="002D61C1"/>
    <w:rsid w:val="002D7BA9"/>
    <w:rsid w:val="002E0652"/>
    <w:rsid w:val="002E0EEF"/>
    <w:rsid w:val="002E1538"/>
    <w:rsid w:val="002E220A"/>
    <w:rsid w:val="002E474B"/>
    <w:rsid w:val="002E5D67"/>
    <w:rsid w:val="002F0528"/>
    <w:rsid w:val="002F4667"/>
    <w:rsid w:val="003019DE"/>
    <w:rsid w:val="003107EE"/>
    <w:rsid w:val="00310AAE"/>
    <w:rsid w:val="00311594"/>
    <w:rsid w:val="00316672"/>
    <w:rsid w:val="0031717A"/>
    <w:rsid w:val="00320E0B"/>
    <w:rsid w:val="003321EE"/>
    <w:rsid w:val="003368E4"/>
    <w:rsid w:val="00337E8E"/>
    <w:rsid w:val="003405D8"/>
    <w:rsid w:val="00340EE3"/>
    <w:rsid w:val="00341C4C"/>
    <w:rsid w:val="00345471"/>
    <w:rsid w:val="003470BD"/>
    <w:rsid w:val="00352770"/>
    <w:rsid w:val="00353CCD"/>
    <w:rsid w:val="00355C88"/>
    <w:rsid w:val="00356548"/>
    <w:rsid w:val="003642C5"/>
    <w:rsid w:val="00364714"/>
    <w:rsid w:val="003658F0"/>
    <w:rsid w:val="00366C32"/>
    <w:rsid w:val="0037246B"/>
    <w:rsid w:val="00374094"/>
    <w:rsid w:val="003754A9"/>
    <w:rsid w:val="003767B6"/>
    <w:rsid w:val="003775F0"/>
    <w:rsid w:val="00377E71"/>
    <w:rsid w:val="003812BA"/>
    <w:rsid w:val="00383FEE"/>
    <w:rsid w:val="003854D3"/>
    <w:rsid w:val="00387248"/>
    <w:rsid w:val="0039199F"/>
    <w:rsid w:val="003923A4"/>
    <w:rsid w:val="00392666"/>
    <w:rsid w:val="0039469E"/>
    <w:rsid w:val="00395990"/>
    <w:rsid w:val="00395B8B"/>
    <w:rsid w:val="00397B1F"/>
    <w:rsid w:val="00397B71"/>
    <w:rsid w:val="00397C2C"/>
    <w:rsid w:val="003A5312"/>
    <w:rsid w:val="003A6D24"/>
    <w:rsid w:val="003A7356"/>
    <w:rsid w:val="003B44BB"/>
    <w:rsid w:val="003C38B5"/>
    <w:rsid w:val="003C5B4D"/>
    <w:rsid w:val="003D4FDF"/>
    <w:rsid w:val="003E0BA6"/>
    <w:rsid w:val="003E56F0"/>
    <w:rsid w:val="003E5DE4"/>
    <w:rsid w:val="003E7635"/>
    <w:rsid w:val="003F11C9"/>
    <w:rsid w:val="003F18B5"/>
    <w:rsid w:val="003F34A7"/>
    <w:rsid w:val="003F5C6C"/>
    <w:rsid w:val="003F6431"/>
    <w:rsid w:val="003F6F4C"/>
    <w:rsid w:val="004008C9"/>
    <w:rsid w:val="004026A9"/>
    <w:rsid w:val="004077CF"/>
    <w:rsid w:val="004114E4"/>
    <w:rsid w:val="00413F11"/>
    <w:rsid w:val="00415571"/>
    <w:rsid w:val="0041769C"/>
    <w:rsid w:val="00420B38"/>
    <w:rsid w:val="00427500"/>
    <w:rsid w:val="00430D3A"/>
    <w:rsid w:val="00431490"/>
    <w:rsid w:val="00431C03"/>
    <w:rsid w:val="00433164"/>
    <w:rsid w:val="004340B3"/>
    <w:rsid w:val="00436957"/>
    <w:rsid w:val="004422A3"/>
    <w:rsid w:val="00443CF6"/>
    <w:rsid w:val="004532B9"/>
    <w:rsid w:val="00453B08"/>
    <w:rsid w:val="00455066"/>
    <w:rsid w:val="00456C44"/>
    <w:rsid w:val="00457934"/>
    <w:rsid w:val="004618D3"/>
    <w:rsid w:val="004636F7"/>
    <w:rsid w:val="00464358"/>
    <w:rsid w:val="004649E6"/>
    <w:rsid w:val="00466782"/>
    <w:rsid w:val="00466B33"/>
    <w:rsid w:val="00466EA9"/>
    <w:rsid w:val="0047040D"/>
    <w:rsid w:val="00480BA0"/>
    <w:rsid w:val="00482A49"/>
    <w:rsid w:val="0048564A"/>
    <w:rsid w:val="00491FFE"/>
    <w:rsid w:val="00494B93"/>
    <w:rsid w:val="00495211"/>
    <w:rsid w:val="0049687A"/>
    <w:rsid w:val="004A040E"/>
    <w:rsid w:val="004A0DD3"/>
    <w:rsid w:val="004A3594"/>
    <w:rsid w:val="004A6F5C"/>
    <w:rsid w:val="004A7E73"/>
    <w:rsid w:val="004B0108"/>
    <w:rsid w:val="004B0E05"/>
    <w:rsid w:val="004B1132"/>
    <w:rsid w:val="004B6700"/>
    <w:rsid w:val="004C08B2"/>
    <w:rsid w:val="004C163F"/>
    <w:rsid w:val="004C2AEA"/>
    <w:rsid w:val="004C3967"/>
    <w:rsid w:val="004D01C4"/>
    <w:rsid w:val="004D2F51"/>
    <w:rsid w:val="004D3157"/>
    <w:rsid w:val="004E4612"/>
    <w:rsid w:val="004E483A"/>
    <w:rsid w:val="004E66F5"/>
    <w:rsid w:val="004E6B06"/>
    <w:rsid w:val="004F2534"/>
    <w:rsid w:val="004F355A"/>
    <w:rsid w:val="004F4B3A"/>
    <w:rsid w:val="004F5154"/>
    <w:rsid w:val="005014AE"/>
    <w:rsid w:val="00501D71"/>
    <w:rsid w:val="00502DD5"/>
    <w:rsid w:val="00504FEE"/>
    <w:rsid w:val="005133A0"/>
    <w:rsid w:val="005139FA"/>
    <w:rsid w:val="005163CD"/>
    <w:rsid w:val="00517CEC"/>
    <w:rsid w:val="005208D8"/>
    <w:rsid w:val="0052442F"/>
    <w:rsid w:val="00525458"/>
    <w:rsid w:val="00526460"/>
    <w:rsid w:val="0052731D"/>
    <w:rsid w:val="005359C2"/>
    <w:rsid w:val="00535B38"/>
    <w:rsid w:val="005411FE"/>
    <w:rsid w:val="00541359"/>
    <w:rsid w:val="00543603"/>
    <w:rsid w:val="005437E5"/>
    <w:rsid w:val="00544FD1"/>
    <w:rsid w:val="00546E36"/>
    <w:rsid w:val="005510EF"/>
    <w:rsid w:val="005537C2"/>
    <w:rsid w:val="00563478"/>
    <w:rsid w:val="005644DA"/>
    <w:rsid w:val="00570487"/>
    <w:rsid w:val="00570D4B"/>
    <w:rsid w:val="00571CE5"/>
    <w:rsid w:val="00572B47"/>
    <w:rsid w:val="0057392D"/>
    <w:rsid w:val="0057508F"/>
    <w:rsid w:val="00575120"/>
    <w:rsid w:val="005760C4"/>
    <w:rsid w:val="00576674"/>
    <w:rsid w:val="00577CE2"/>
    <w:rsid w:val="005822CF"/>
    <w:rsid w:val="0058420A"/>
    <w:rsid w:val="00584E70"/>
    <w:rsid w:val="005862F1"/>
    <w:rsid w:val="00586E11"/>
    <w:rsid w:val="005910B6"/>
    <w:rsid w:val="005917A0"/>
    <w:rsid w:val="005925CB"/>
    <w:rsid w:val="0059515A"/>
    <w:rsid w:val="005956B7"/>
    <w:rsid w:val="005A13A0"/>
    <w:rsid w:val="005A2F42"/>
    <w:rsid w:val="005A42FB"/>
    <w:rsid w:val="005A7F70"/>
    <w:rsid w:val="005B06BD"/>
    <w:rsid w:val="005B1889"/>
    <w:rsid w:val="005B38BF"/>
    <w:rsid w:val="005B4CAA"/>
    <w:rsid w:val="005B680C"/>
    <w:rsid w:val="005C2A6E"/>
    <w:rsid w:val="005C5DB3"/>
    <w:rsid w:val="005C79F7"/>
    <w:rsid w:val="005D0746"/>
    <w:rsid w:val="005D1931"/>
    <w:rsid w:val="005D400B"/>
    <w:rsid w:val="005D4396"/>
    <w:rsid w:val="005D4D6C"/>
    <w:rsid w:val="005D66C5"/>
    <w:rsid w:val="005D67E6"/>
    <w:rsid w:val="005E1620"/>
    <w:rsid w:val="005E2871"/>
    <w:rsid w:val="005E402B"/>
    <w:rsid w:val="005E40F7"/>
    <w:rsid w:val="005E4748"/>
    <w:rsid w:val="005E4BA2"/>
    <w:rsid w:val="005E564B"/>
    <w:rsid w:val="005E6F37"/>
    <w:rsid w:val="005F0D5C"/>
    <w:rsid w:val="005F46AB"/>
    <w:rsid w:val="005F5770"/>
    <w:rsid w:val="005F5B9D"/>
    <w:rsid w:val="006001AE"/>
    <w:rsid w:val="00602154"/>
    <w:rsid w:val="00613A23"/>
    <w:rsid w:val="0061708C"/>
    <w:rsid w:val="00617F12"/>
    <w:rsid w:val="00620B93"/>
    <w:rsid w:val="00621DE8"/>
    <w:rsid w:val="0062599D"/>
    <w:rsid w:val="00627B8F"/>
    <w:rsid w:val="006311D6"/>
    <w:rsid w:val="00632D8A"/>
    <w:rsid w:val="00632DAC"/>
    <w:rsid w:val="00633B5F"/>
    <w:rsid w:val="006353E9"/>
    <w:rsid w:val="00636092"/>
    <w:rsid w:val="00637480"/>
    <w:rsid w:val="006430F9"/>
    <w:rsid w:val="00645452"/>
    <w:rsid w:val="00646551"/>
    <w:rsid w:val="00662F4D"/>
    <w:rsid w:val="00663541"/>
    <w:rsid w:val="006654A5"/>
    <w:rsid w:val="00666DE8"/>
    <w:rsid w:val="00667B70"/>
    <w:rsid w:val="006724F9"/>
    <w:rsid w:val="00673A55"/>
    <w:rsid w:val="0067569E"/>
    <w:rsid w:val="0067686B"/>
    <w:rsid w:val="00676DBB"/>
    <w:rsid w:val="00683FBC"/>
    <w:rsid w:val="00684CA8"/>
    <w:rsid w:val="006855AC"/>
    <w:rsid w:val="00685982"/>
    <w:rsid w:val="00687471"/>
    <w:rsid w:val="006917A0"/>
    <w:rsid w:val="00692F13"/>
    <w:rsid w:val="006A4CE8"/>
    <w:rsid w:val="006A649B"/>
    <w:rsid w:val="006A79E8"/>
    <w:rsid w:val="006B095E"/>
    <w:rsid w:val="006B3297"/>
    <w:rsid w:val="006B55FE"/>
    <w:rsid w:val="006B6F15"/>
    <w:rsid w:val="006C14B1"/>
    <w:rsid w:val="006C2840"/>
    <w:rsid w:val="006C4E61"/>
    <w:rsid w:val="006C51EC"/>
    <w:rsid w:val="006D0A49"/>
    <w:rsid w:val="006D10C8"/>
    <w:rsid w:val="006D343C"/>
    <w:rsid w:val="006D4D01"/>
    <w:rsid w:val="006D7E90"/>
    <w:rsid w:val="006E063E"/>
    <w:rsid w:val="006E1F02"/>
    <w:rsid w:val="006E3064"/>
    <w:rsid w:val="006E4D76"/>
    <w:rsid w:val="006E74FE"/>
    <w:rsid w:val="006E7CA1"/>
    <w:rsid w:val="006F315B"/>
    <w:rsid w:val="006F4AB3"/>
    <w:rsid w:val="006F6240"/>
    <w:rsid w:val="006F7D28"/>
    <w:rsid w:val="00701869"/>
    <w:rsid w:val="00706BDE"/>
    <w:rsid w:val="007106B0"/>
    <w:rsid w:val="00714404"/>
    <w:rsid w:val="007154A9"/>
    <w:rsid w:val="007169D3"/>
    <w:rsid w:val="00716AD8"/>
    <w:rsid w:val="00723C3E"/>
    <w:rsid w:val="00734279"/>
    <w:rsid w:val="00734624"/>
    <w:rsid w:val="00734DD7"/>
    <w:rsid w:val="00735650"/>
    <w:rsid w:val="0073634F"/>
    <w:rsid w:val="007428FA"/>
    <w:rsid w:val="00742E02"/>
    <w:rsid w:val="007439D0"/>
    <w:rsid w:val="00753C84"/>
    <w:rsid w:val="00754256"/>
    <w:rsid w:val="007557A1"/>
    <w:rsid w:val="00761A33"/>
    <w:rsid w:val="007640C9"/>
    <w:rsid w:val="007647C3"/>
    <w:rsid w:val="00772635"/>
    <w:rsid w:val="00773D65"/>
    <w:rsid w:val="0078030E"/>
    <w:rsid w:val="007810AC"/>
    <w:rsid w:val="00781A1C"/>
    <w:rsid w:val="00782567"/>
    <w:rsid w:val="00787D54"/>
    <w:rsid w:val="00792DB3"/>
    <w:rsid w:val="00793708"/>
    <w:rsid w:val="00797933"/>
    <w:rsid w:val="007A2A03"/>
    <w:rsid w:val="007A2AF3"/>
    <w:rsid w:val="007A32DD"/>
    <w:rsid w:val="007A3BD8"/>
    <w:rsid w:val="007A4F9D"/>
    <w:rsid w:val="007A7CF8"/>
    <w:rsid w:val="007B1497"/>
    <w:rsid w:val="007B18C3"/>
    <w:rsid w:val="007B2D2C"/>
    <w:rsid w:val="007B77A0"/>
    <w:rsid w:val="007B7F36"/>
    <w:rsid w:val="007C08DE"/>
    <w:rsid w:val="007C1E5C"/>
    <w:rsid w:val="007C732A"/>
    <w:rsid w:val="007C7F56"/>
    <w:rsid w:val="007D090A"/>
    <w:rsid w:val="007D1A20"/>
    <w:rsid w:val="007D3F3E"/>
    <w:rsid w:val="007D5B2F"/>
    <w:rsid w:val="007D69F5"/>
    <w:rsid w:val="007D7A1F"/>
    <w:rsid w:val="007E5BB9"/>
    <w:rsid w:val="007E5E8F"/>
    <w:rsid w:val="007E662E"/>
    <w:rsid w:val="007E7EB7"/>
    <w:rsid w:val="007F2AEA"/>
    <w:rsid w:val="007F667A"/>
    <w:rsid w:val="007F765C"/>
    <w:rsid w:val="00805B98"/>
    <w:rsid w:val="00807985"/>
    <w:rsid w:val="00812DA3"/>
    <w:rsid w:val="00814475"/>
    <w:rsid w:val="00815436"/>
    <w:rsid w:val="00815B76"/>
    <w:rsid w:val="00816987"/>
    <w:rsid w:val="00820C9A"/>
    <w:rsid w:val="00822C5D"/>
    <w:rsid w:val="008240EA"/>
    <w:rsid w:val="00824CE9"/>
    <w:rsid w:val="0083089E"/>
    <w:rsid w:val="008334B3"/>
    <w:rsid w:val="00834215"/>
    <w:rsid w:val="0084182C"/>
    <w:rsid w:val="0084437A"/>
    <w:rsid w:val="0084456E"/>
    <w:rsid w:val="00846E50"/>
    <w:rsid w:val="00847D43"/>
    <w:rsid w:val="00853BCB"/>
    <w:rsid w:val="00854D9A"/>
    <w:rsid w:val="0085562A"/>
    <w:rsid w:val="00856B51"/>
    <w:rsid w:val="00861828"/>
    <w:rsid w:val="00863285"/>
    <w:rsid w:val="008640FF"/>
    <w:rsid w:val="00870183"/>
    <w:rsid w:val="00872A39"/>
    <w:rsid w:val="00872FB9"/>
    <w:rsid w:val="00874AA5"/>
    <w:rsid w:val="008805C8"/>
    <w:rsid w:val="008815D6"/>
    <w:rsid w:val="008850F5"/>
    <w:rsid w:val="0088557B"/>
    <w:rsid w:val="00885863"/>
    <w:rsid w:val="0089089C"/>
    <w:rsid w:val="00890B9A"/>
    <w:rsid w:val="0089109D"/>
    <w:rsid w:val="00892187"/>
    <w:rsid w:val="00892F74"/>
    <w:rsid w:val="00894EA0"/>
    <w:rsid w:val="0089525B"/>
    <w:rsid w:val="008A396B"/>
    <w:rsid w:val="008A5F00"/>
    <w:rsid w:val="008A79C0"/>
    <w:rsid w:val="008B0F37"/>
    <w:rsid w:val="008B5CBC"/>
    <w:rsid w:val="008B6A06"/>
    <w:rsid w:val="008C176F"/>
    <w:rsid w:val="008C52C4"/>
    <w:rsid w:val="008C6D23"/>
    <w:rsid w:val="008C7092"/>
    <w:rsid w:val="008D033B"/>
    <w:rsid w:val="008D15AA"/>
    <w:rsid w:val="008E0292"/>
    <w:rsid w:val="008E3002"/>
    <w:rsid w:val="008E3871"/>
    <w:rsid w:val="008E3D40"/>
    <w:rsid w:val="008E68F3"/>
    <w:rsid w:val="008E71BB"/>
    <w:rsid w:val="008F1D6A"/>
    <w:rsid w:val="008F488B"/>
    <w:rsid w:val="008F52E1"/>
    <w:rsid w:val="00900061"/>
    <w:rsid w:val="00900E77"/>
    <w:rsid w:val="009017D7"/>
    <w:rsid w:val="00904110"/>
    <w:rsid w:val="00904D18"/>
    <w:rsid w:val="00910195"/>
    <w:rsid w:val="00910C85"/>
    <w:rsid w:val="00910F63"/>
    <w:rsid w:val="00913C9A"/>
    <w:rsid w:val="00920251"/>
    <w:rsid w:val="00925F42"/>
    <w:rsid w:val="009278D8"/>
    <w:rsid w:val="00927FA6"/>
    <w:rsid w:val="009311E0"/>
    <w:rsid w:val="00931B32"/>
    <w:rsid w:val="009333AF"/>
    <w:rsid w:val="00934E1A"/>
    <w:rsid w:val="009366D7"/>
    <w:rsid w:val="00940D53"/>
    <w:rsid w:val="00941F20"/>
    <w:rsid w:val="00943852"/>
    <w:rsid w:val="009464BB"/>
    <w:rsid w:val="0095101C"/>
    <w:rsid w:val="009553CA"/>
    <w:rsid w:val="00955ED1"/>
    <w:rsid w:val="00956DC1"/>
    <w:rsid w:val="00962A10"/>
    <w:rsid w:val="009635E9"/>
    <w:rsid w:val="0096506A"/>
    <w:rsid w:val="00965162"/>
    <w:rsid w:val="0096607E"/>
    <w:rsid w:val="0098287D"/>
    <w:rsid w:val="009868FA"/>
    <w:rsid w:val="00987558"/>
    <w:rsid w:val="00992FC3"/>
    <w:rsid w:val="00994AA8"/>
    <w:rsid w:val="00995265"/>
    <w:rsid w:val="00996D63"/>
    <w:rsid w:val="00997A02"/>
    <w:rsid w:val="00997C7A"/>
    <w:rsid w:val="009A2837"/>
    <w:rsid w:val="009A7BBE"/>
    <w:rsid w:val="009B0E12"/>
    <w:rsid w:val="009B38C1"/>
    <w:rsid w:val="009B44B9"/>
    <w:rsid w:val="009B5721"/>
    <w:rsid w:val="009B5E5A"/>
    <w:rsid w:val="009B7FF4"/>
    <w:rsid w:val="009C00A6"/>
    <w:rsid w:val="009C18F4"/>
    <w:rsid w:val="009C5F72"/>
    <w:rsid w:val="009C74B7"/>
    <w:rsid w:val="009C77B9"/>
    <w:rsid w:val="009D0BCE"/>
    <w:rsid w:val="009D1A79"/>
    <w:rsid w:val="009D2CF8"/>
    <w:rsid w:val="009D32AC"/>
    <w:rsid w:val="009D4B93"/>
    <w:rsid w:val="009D5304"/>
    <w:rsid w:val="009D5370"/>
    <w:rsid w:val="009D73F0"/>
    <w:rsid w:val="009E35D2"/>
    <w:rsid w:val="009E398E"/>
    <w:rsid w:val="009F2909"/>
    <w:rsid w:val="009F48C1"/>
    <w:rsid w:val="009F56BE"/>
    <w:rsid w:val="00A006A6"/>
    <w:rsid w:val="00A01053"/>
    <w:rsid w:val="00A01311"/>
    <w:rsid w:val="00A018AD"/>
    <w:rsid w:val="00A05DFC"/>
    <w:rsid w:val="00A06DB9"/>
    <w:rsid w:val="00A07819"/>
    <w:rsid w:val="00A10C88"/>
    <w:rsid w:val="00A14FCF"/>
    <w:rsid w:val="00A15549"/>
    <w:rsid w:val="00A15D72"/>
    <w:rsid w:val="00A167E4"/>
    <w:rsid w:val="00A16FB6"/>
    <w:rsid w:val="00A21CB9"/>
    <w:rsid w:val="00A22C7F"/>
    <w:rsid w:val="00A25CBE"/>
    <w:rsid w:val="00A319BF"/>
    <w:rsid w:val="00A34E6C"/>
    <w:rsid w:val="00A35765"/>
    <w:rsid w:val="00A432C3"/>
    <w:rsid w:val="00A43FF6"/>
    <w:rsid w:val="00A44A26"/>
    <w:rsid w:val="00A47B3E"/>
    <w:rsid w:val="00A47EB7"/>
    <w:rsid w:val="00A5015E"/>
    <w:rsid w:val="00A52C95"/>
    <w:rsid w:val="00A53814"/>
    <w:rsid w:val="00A553B2"/>
    <w:rsid w:val="00A61816"/>
    <w:rsid w:val="00A626EA"/>
    <w:rsid w:val="00A65E07"/>
    <w:rsid w:val="00A713A9"/>
    <w:rsid w:val="00A719F7"/>
    <w:rsid w:val="00A81D7C"/>
    <w:rsid w:val="00A84814"/>
    <w:rsid w:val="00A862F3"/>
    <w:rsid w:val="00A8727A"/>
    <w:rsid w:val="00A87B63"/>
    <w:rsid w:val="00A912B1"/>
    <w:rsid w:val="00A9147D"/>
    <w:rsid w:val="00A92ED5"/>
    <w:rsid w:val="00A9305C"/>
    <w:rsid w:val="00A9387A"/>
    <w:rsid w:val="00A96807"/>
    <w:rsid w:val="00AA0DCB"/>
    <w:rsid w:val="00AB0691"/>
    <w:rsid w:val="00AB0924"/>
    <w:rsid w:val="00AB0E91"/>
    <w:rsid w:val="00AB37BE"/>
    <w:rsid w:val="00AB37F2"/>
    <w:rsid w:val="00AB3CD5"/>
    <w:rsid w:val="00AC558B"/>
    <w:rsid w:val="00AD1A4A"/>
    <w:rsid w:val="00AD5005"/>
    <w:rsid w:val="00AE0A20"/>
    <w:rsid w:val="00AE0C52"/>
    <w:rsid w:val="00AE0E12"/>
    <w:rsid w:val="00AE149F"/>
    <w:rsid w:val="00AE2795"/>
    <w:rsid w:val="00AE3EDA"/>
    <w:rsid w:val="00AE41FB"/>
    <w:rsid w:val="00AE77F7"/>
    <w:rsid w:val="00AF662A"/>
    <w:rsid w:val="00AF68FA"/>
    <w:rsid w:val="00B01C32"/>
    <w:rsid w:val="00B021F7"/>
    <w:rsid w:val="00B03C8E"/>
    <w:rsid w:val="00B05896"/>
    <w:rsid w:val="00B05F61"/>
    <w:rsid w:val="00B10307"/>
    <w:rsid w:val="00B1046B"/>
    <w:rsid w:val="00B110EA"/>
    <w:rsid w:val="00B11896"/>
    <w:rsid w:val="00B127F6"/>
    <w:rsid w:val="00B135DD"/>
    <w:rsid w:val="00B14D7A"/>
    <w:rsid w:val="00B150C7"/>
    <w:rsid w:val="00B15A24"/>
    <w:rsid w:val="00B16EEA"/>
    <w:rsid w:val="00B17543"/>
    <w:rsid w:val="00B175EE"/>
    <w:rsid w:val="00B17C0F"/>
    <w:rsid w:val="00B22107"/>
    <w:rsid w:val="00B23572"/>
    <w:rsid w:val="00B235F2"/>
    <w:rsid w:val="00B25D80"/>
    <w:rsid w:val="00B31239"/>
    <w:rsid w:val="00B3223B"/>
    <w:rsid w:val="00B32319"/>
    <w:rsid w:val="00B33F84"/>
    <w:rsid w:val="00B41033"/>
    <w:rsid w:val="00B419ED"/>
    <w:rsid w:val="00B4725E"/>
    <w:rsid w:val="00B50783"/>
    <w:rsid w:val="00B508ED"/>
    <w:rsid w:val="00B52AFA"/>
    <w:rsid w:val="00B53DBD"/>
    <w:rsid w:val="00B561C4"/>
    <w:rsid w:val="00B561FA"/>
    <w:rsid w:val="00B5659F"/>
    <w:rsid w:val="00B56613"/>
    <w:rsid w:val="00B63D23"/>
    <w:rsid w:val="00B669DC"/>
    <w:rsid w:val="00B75B6F"/>
    <w:rsid w:val="00B75CA6"/>
    <w:rsid w:val="00B82410"/>
    <w:rsid w:val="00B9015A"/>
    <w:rsid w:val="00B90ACF"/>
    <w:rsid w:val="00B943D8"/>
    <w:rsid w:val="00B9798E"/>
    <w:rsid w:val="00BA2AEB"/>
    <w:rsid w:val="00BA305A"/>
    <w:rsid w:val="00BA364F"/>
    <w:rsid w:val="00BA3B55"/>
    <w:rsid w:val="00BA42D2"/>
    <w:rsid w:val="00BA6632"/>
    <w:rsid w:val="00BB1398"/>
    <w:rsid w:val="00BB254E"/>
    <w:rsid w:val="00BB269D"/>
    <w:rsid w:val="00BB3499"/>
    <w:rsid w:val="00BB707C"/>
    <w:rsid w:val="00BC28F0"/>
    <w:rsid w:val="00BC3968"/>
    <w:rsid w:val="00BC502F"/>
    <w:rsid w:val="00BC72BF"/>
    <w:rsid w:val="00BD0279"/>
    <w:rsid w:val="00BD1546"/>
    <w:rsid w:val="00BD62B4"/>
    <w:rsid w:val="00BE1E20"/>
    <w:rsid w:val="00BE22B3"/>
    <w:rsid w:val="00BE48C8"/>
    <w:rsid w:val="00BE5439"/>
    <w:rsid w:val="00BE7108"/>
    <w:rsid w:val="00BF1E66"/>
    <w:rsid w:val="00BF2057"/>
    <w:rsid w:val="00BF3A9C"/>
    <w:rsid w:val="00BF45A0"/>
    <w:rsid w:val="00BF53B9"/>
    <w:rsid w:val="00BF6994"/>
    <w:rsid w:val="00C04E5C"/>
    <w:rsid w:val="00C10000"/>
    <w:rsid w:val="00C10255"/>
    <w:rsid w:val="00C1118A"/>
    <w:rsid w:val="00C11AF2"/>
    <w:rsid w:val="00C14195"/>
    <w:rsid w:val="00C15A69"/>
    <w:rsid w:val="00C15AEC"/>
    <w:rsid w:val="00C164E2"/>
    <w:rsid w:val="00C17C93"/>
    <w:rsid w:val="00C21207"/>
    <w:rsid w:val="00C23767"/>
    <w:rsid w:val="00C24109"/>
    <w:rsid w:val="00C26E7C"/>
    <w:rsid w:val="00C339BC"/>
    <w:rsid w:val="00C3549D"/>
    <w:rsid w:val="00C357C1"/>
    <w:rsid w:val="00C37C38"/>
    <w:rsid w:val="00C4292B"/>
    <w:rsid w:val="00C45226"/>
    <w:rsid w:val="00C54087"/>
    <w:rsid w:val="00C55181"/>
    <w:rsid w:val="00C60839"/>
    <w:rsid w:val="00C619C4"/>
    <w:rsid w:val="00C62A8A"/>
    <w:rsid w:val="00C62E20"/>
    <w:rsid w:val="00C67C1E"/>
    <w:rsid w:val="00C67EF5"/>
    <w:rsid w:val="00C7008F"/>
    <w:rsid w:val="00C7128C"/>
    <w:rsid w:val="00C71EA2"/>
    <w:rsid w:val="00C73399"/>
    <w:rsid w:val="00C746A3"/>
    <w:rsid w:val="00C76070"/>
    <w:rsid w:val="00C767E0"/>
    <w:rsid w:val="00C777B9"/>
    <w:rsid w:val="00C77BB9"/>
    <w:rsid w:val="00C80DAE"/>
    <w:rsid w:val="00C81002"/>
    <w:rsid w:val="00C8284A"/>
    <w:rsid w:val="00C83231"/>
    <w:rsid w:val="00C836A9"/>
    <w:rsid w:val="00C8552A"/>
    <w:rsid w:val="00C861B7"/>
    <w:rsid w:val="00C87EFE"/>
    <w:rsid w:val="00C901F0"/>
    <w:rsid w:val="00C91148"/>
    <w:rsid w:val="00C91D69"/>
    <w:rsid w:val="00C91F9D"/>
    <w:rsid w:val="00C93680"/>
    <w:rsid w:val="00C93F36"/>
    <w:rsid w:val="00C949D7"/>
    <w:rsid w:val="00C950E6"/>
    <w:rsid w:val="00CA04B6"/>
    <w:rsid w:val="00CA5241"/>
    <w:rsid w:val="00CB0B96"/>
    <w:rsid w:val="00CB0BA1"/>
    <w:rsid w:val="00CB1443"/>
    <w:rsid w:val="00CB306C"/>
    <w:rsid w:val="00CB35E6"/>
    <w:rsid w:val="00CB6C4B"/>
    <w:rsid w:val="00CC1A2F"/>
    <w:rsid w:val="00CC1FD2"/>
    <w:rsid w:val="00CC48F6"/>
    <w:rsid w:val="00CC6AD8"/>
    <w:rsid w:val="00CC7A1B"/>
    <w:rsid w:val="00CC7A94"/>
    <w:rsid w:val="00CC7F12"/>
    <w:rsid w:val="00CD2217"/>
    <w:rsid w:val="00CD3A5C"/>
    <w:rsid w:val="00CD3C89"/>
    <w:rsid w:val="00CD4669"/>
    <w:rsid w:val="00CD52CC"/>
    <w:rsid w:val="00CD55DD"/>
    <w:rsid w:val="00CD7288"/>
    <w:rsid w:val="00CE31B6"/>
    <w:rsid w:val="00CE33EF"/>
    <w:rsid w:val="00CE3D56"/>
    <w:rsid w:val="00CE4670"/>
    <w:rsid w:val="00CF14C4"/>
    <w:rsid w:val="00CF1859"/>
    <w:rsid w:val="00CF2214"/>
    <w:rsid w:val="00D0050E"/>
    <w:rsid w:val="00D00C7F"/>
    <w:rsid w:val="00D03A4E"/>
    <w:rsid w:val="00D22E9D"/>
    <w:rsid w:val="00D22EC4"/>
    <w:rsid w:val="00D23A3B"/>
    <w:rsid w:val="00D24688"/>
    <w:rsid w:val="00D30566"/>
    <w:rsid w:val="00D410E2"/>
    <w:rsid w:val="00D41393"/>
    <w:rsid w:val="00D41C8C"/>
    <w:rsid w:val="00D42136"/>
    <w:rsid w:val="00D42ECD"/>
    <w:rsid w:val="00D433C7"/>
    <w:rsid w:val="00D4358C"/>
    <w:rsid w:val="00D45BD0"/>
    <w:rsid w:val="00D47FCD"/>
    <w:rsid w:val="00D510F0"/>
    <w:rsid w:val="00D52E7B"/>
    <w:rsid w:val="00D55E89"/>
    <w:rsid w:val="00D55EDE"/>
    <w:rsid w:val="00D57F2B"/>
    <w:rsid w:val="00D61F88"/>
    <w:rsid w:val="00D6218A"/>
    <w:rsid w:val="00D67CD4"/>
    <w:rsid w:val="00D67E55"/>
    <w:rsid w:val="00D70C83"/>
    <w:rsid w:val="00D72716"/>
    <w:rsid w:val="00D72F54"/>
    <w:rsid w:val="00D73905"/>
    <w:rsid w:val="00D742A0"/>
    <w:rsid w:val="00D74C66"/>
    <w:rsid w:val="00D776C5"/>
    <w:rsid w:val="00D8010C"/>
    <w:rsid w:val="00D83E3C"/>
    <w:rsid w:val="00D91D6C"/>
    <w:rsid w:val="00D923F6"/>
    <w:rsid w:val="00D9321D"/>
    <w:rsid w:val="00D94627"/>
    <w:rsid w:val="00DA2662"/>
    <w:rsid w:val="00DA50AC"/>
    <w:rsid w:val="00DA5DA0"/>
    <w:rsid w:val="00DB10F7"/>
    <w:rsid w:val="00DB16F1"/>
    <w:rsid w:val="00DB197B"/>
    <w:rsid w:val="00DB3E24"/>
    <w:rsid w:val="00DB44D1"/>
    <w:rsid w:val="00DB4563"/>
    <w:rsid w:val="00DB4E49"/>
    <w:rsid w:val="00DB5CB9"/>
    <w:rsid w:val="00DB6623"/>
    <w:rsid w:val="00DC0518"/>
    <w:rsid w:val="00DC130D"/>
    <w:rsid w:val="00DC1492"/>
    <w:rsid w:val="00DC25DA"/>
    <w:rsid w:val="00DC29B6"/>
    <w:rsid w:val="00DC31D4"/>
    <w:rsid w:val="00DC4E1A"/>
    <w:rsid w:val="00DC4F37"/>
    <w:rsid w:val="00DE0538"/>
    <w:rsid w:val="00DE3568"/>
    <w:rsid w:val="00DE72F0"/>
    <w:rsid w:val="00DF5DC8"/>
    <w:rsid w:val="00E002EE"/>
    <w:rsid w:val="00E032ED"/>
    <w:rsid w:val="00E04A6C"/>
    <w:rsid w:val="00E06293"/>
    <w:rsid w:val="00E07DF7"/>
    <w:rsid w:val="00E11655"/>
    <w:rsid w:val="00E11F89"/>
    <w:rsid w:val="00E13A9B"/>
    <w:rsid w:val="00E14ADA"/>
    <w:rsid w:val="00E155BD"/>
    <w:rsid w:val="00E160F6"/>
    <w:rsid w:val="00E22273"/>
    <w:rsid w:val="00E235D7"/>
    <w:rsid w:val="00E23EB3"/>
    <w:rsid w:val="00E36B83"/>
    <w:rsid w:val="00E37300"/>
    <w:rsid w:val="00E4072D"/>
    <w:rsid w:val="00E41C81"/>
    <w:rsid w:val="00E42DD8"/>
    <w:rsid w:val="00E46716"/>
    <w:rsid w:val="00E468A1"/>
    <w:rsid w:val="00E477B0"/>
    <w:rsid w:val="00E50874"/>
    <w:rsid w:val="00E52988"/>
    <w:rsid w:val="00E545A4"/>
    <w:rsid w:val="00E57516"/>
    <w:rsid w:val="00E62310"/>
    <w:rsid w:val="00E66116"/>
    <w:rsid w:val="00E66CA0"/>
    <w:rsid w:val="00E67DF4"/>
    <w:rsid w:val="00E7270E"/>
    <w:rsid w:val="00E731D6"/>
    <w:rsid w:val="00E769FC"/>
    <w:rsid w:val="00E80DB1"/>
    <w:rsid w:val="00E81F05"/>
    <w:rsid w:val="00E8350A"/>
    <w:rsid w:val="00E8353F"/>
    <w:rsid w:val="00E85335"/>
    <w:rsid w:val="00E8586F"/>
    <w:rsid w:val="00E87010"/>
    <w:rsid w:val="00E90B47"/>
    <w:rsid w:val="00E92785"/>
    <w:rsid w:val="00E92B0D"/>
    <w:rsid w:val="00E969D5"/>
    <w:rsid w:val="00EA1648"/>
    <w:rsid w:val="00EA350A"/>
    <w:rsid w:val="00EA4850"/>
    <w:rsid w:val="00EA4E70"/>
    <w:rsid w:val="00EA5040"/>
    <w:rsid w:val="00EA5201"/>
    <w:rsid w:val="00EA6467"/>
    <w:rsid w:val="00EA6FB6"/>
    <w:rsid w:val="00EA7E1E"/>
    <w:rsid w:val="00EB3218"/>
    <w:rsid w:val="00EB4CE8"/>
    <w:rsid w:val="00EC3A2B"/>
    <w:rsid w:val="00EC7583"/>
    <w:rsid w:val="00ED0819"/>
    <w:rsid w:val="00ED0EE3"/>
    <w:rsid w:val="00ED2670"/>
    <w:rsid w:val="00ED2A8D"/>
    <w:rsid w:val="00ED2C78"/>
    <w:rsid w:val="00ED3C71"/>
    <w:rsid w:val="00ED47E8"/>
    <w:rsid w:val="00EE1A86"/>
    <w:rsid w:val="00EE3F18"/>
    <w:rsid w:val="00EF0F73"/>
    <w:rsid w:val="00EF2018"/>
    <w:rsid w:val="00EF3422"/>
    <w:rsid w:val="00EF431E"/>
    <w:rsid w:val="00EF5EBC"/>
    <w:rsid w:val="00EF760B"/>
    <w:rsid w:val="00F003B2"/>
    <w:rsid w:val="00F01E13"/>
    <w:rsid w:val="00F05188"/>
    <w:rsid w:val="00F051D4"/>
    <w:rsid w:val="00F07C1B"/>
    <w:rsid w:val="00F13594"/>
    <w:rsid w:val="00F135BC"/>
    <w:rsid w:val="00F20BE2"/>
    <w:rsid w:val="00F22724"/>
    <w:rsid w:val="00F22D9E"/>
    <w:rsid w:val="00F2438E"/>
    <w:rsid w:val="00F26470"/>
    <w:rsid w:val="00F27353"/>
    <w:rsid w:val="00F33297"/>
    <w:rsid w:val="00F335ED"/>
    <w:rsid w:val="00F34969"/>
    <w:rsid w:val="00F3525F"/>
    <w:rsid w:val="00F415A5"/>
    <w:rsid w:val="00F45210"/>
    <w:rsid w:val="00F4637B"/>
    <w:rsid w:val="00F47CE6"/>
    <w:rsid w:val="00F51C2B"/>
    <w:rsid w:val="00F534D4"/>
    <w:rsid w:val="00F57AA1"/>
    <w:rsid w:val="00F60C70"/>
    <w:rsid w:val="00F617C6"/>
    <w:rsid w:val="00F67D6C"/>
    <w:rsid w:val="00F70377"/>
    <w:rsid w:val="00F74E09"/>
    <w:rsid w:val="00F77A03"/>
    <w:rsid w:val="00F808C7"/>
    <w:rsid w:val="00F81862"/>
    <w:rsid w:val="00F8199D"/>
    <w:rsid w:val="00F8457B"/>
    <w:rsid w:val="00F85426"/>
    <w:rsid w:val="00F85C24"/>
    <w:rsid w:val="00F9456F"/>
    <w:rsid w:val="00FA2308"/>
    <w:rsid w:val="00FA7BA5"/>
    <w:rsid w:val="00FB0DA7"/>
    <w:rsid w:val="00FB3015"/>
    <w:rsid w:val="00FB32AD"/>
    <w:rsid w:val="00FB547B"/>
    <w:rsid w:val="00FB704B"/>
    <w:rsid w:val="00FB714E"/>
    <w:rsid w:val="00FC0941"/>
    <w:rsid w:val="00FC3F9E"/>
    <w:rsid w:val="00FC5F1D"/>
    <w:rsid w:val="00FC7226"/>
    <w:rsid w:val="00FC7A2A"/>
    <w:rsid w:val="00FD00EE"/>
    <w:rsid w:val="00FD0DFB"/>
    <w:rsid w:val="00FD17CD"/>
    <w:rsid w:val="00FD2DC9"/>
    <w:rsid w:val="00FD51E3"/>
    <w:rsid w:val="00FE1758"/>
    <w:rsid w:val="00FE2FCB"/>
    <w:rsid w:val="00FE380D"/>
    <w:rsid w:val="00FE44DF"/>
    <w:rsid w:val="00FE4D0E"/>
    <w:rsid w:val="00FF0128"/>
    <w:rsid w:val="00FF1C32"/>
    <w:rsid w:val="00FF42F5"/>
    <w:rsid w:val="6702248A"/>
    <w:rsid w:val="750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D7F84"/>
  <w15:docId w15:val="{7A080B02-A83C-4D4E-8C86-C5BF0357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20"/>
      <w:jc w:val="both"/>
    </w:pPr>
    <w:rPr>
      <w:rFonts w:ascii="Times" w:hAnsi="Times"/>
      <w:szCs w:val="22"/>
      <w:lang w:val="en-GB"/>
    </w:rPr>
  </w:style>
  <w:style w:type="paragraph" w:styleId="1">
    <w:name w:val="heading 1"/>
    <w:basedOn w:val="a"/>
    <w:next w:val="a"/>
    <w:link w:val="10"/>
    <w:uiPriority w:val="9"/>
    <w:qFormat/>
    <w:pPr>
      <w:spacing w:before="240" w:after="60" w:line="360" w:lineRule="exact"/>
      <w:jc w:val="left"/>
      <w:outlineLvl w:val="0"/>
    </w:pPr>
    <w:rPr>
      <w:rFonts w:ascii="Arial" w:eastAsia="Batang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exact"/>
      <w:jc w:val="left"/>
      <w:outlineLvl w:val="1"/>
    </w:pPr>
    <w:rPr>
      <w:rFonts w:ascii="Arial" w:eastAsia="Batang" w:hAnsi="Arial" w:cs="Times New Roman"/>
      <w:b/>
      <w:bCs/>
      <w:i/>
      <w:iCs/>
      <w:sz w:val="24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rPr>
      <w:szCs w:val="20"/>
    </w:rPr>
  </w:style>
  <w:style w:type="paragraph" w:styleId="a5">
    <w:name w:val="Body Text"/>
    <w:basedOn w:val="a"/>
    <w:link w:val="a6"/>
    <w:qFormat/>
    <w:pPr>
      <w:widowControl/>
    </w:pPr>
    <w:rPr>
      <w:rFonts w:eastAsia="Times New Roman" w:cs="Times New Roman"/>
      <w:szCs w:val="24"/>
      <w:lang w:val="en-US" w:eastAsia="en-US"/>
    </w:rPr>
  </w:style>
  <w:style w:type="paragraph" w:styleId="a7">
    <w:name w:val="Plain Text"/>
    <w:basedOn w:val="a"/>
    <w:link w:val="a8"/>
    <w:uiPriority w:val="99"/>
    <w:unhideWhenUsed/>
    <w:qFormat/>
    <w:pPr>
      <w:widowControl/>
      <w:spacing w:after="0"/>
      <w:jc w:val="left"/>
    </w:pPr>
    <w:rPr>
      <w:rFonts w:ascii="Arial" w:eastAsia="MS Gothic" w:hAnsi="Arial" w:cs="Times New Roman"/>
      <w:color w:val="000000"/>
      <w:szCs w:val="20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pacing w:after="0"/>
    </w:p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153"/>
        <w:tab w:val="right" w:pos="8306"/>
      </w:tabs>
      <w:spacing w:after="0"/>
    </w:p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c">
    <w:name w:val="页眉 字符"/>
    <w:basedOn w:val="a0"/>
    <w:link w:val="ab"/>
    <w:uiPriority w:val="99"/>
    <w:qFormat/>
  </w:style>
  <w:style w:type="character" w:customStyle="1" w:styleId="aa">
    <w:name w:val="页脚 字符"/>
    <w:basedOn w:val="a0"/>
    <w:link w:val="a9"/>
    <w:uiPriority w:val="99"/>
    <w:qFormat/>
  </w:style>
  <w:style w:type="character" w:customStyle="1" w:styleId="10">
    <w:name w:val="标题 1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eastAsia="zh-CN"/>
    </w:rPr>
  </w:style>
  <w:style w:type="character" w:customStyle="1" w:styleId="20">
    <w:name w:val="标题 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sz w:val="24"/>
      <w:szCs w:val="28"/>
      <w:lang w:eastAsia="zh-CN"/>
    </w:rPr>
  </w:style>
  <w:style w:type="character" w:customStyle="1" w:styleId="30">
    <w:name w:val="标题 3 字符"/>
    <w:basedOn w:val="a0"/>
    <w:link w:val="3"/>
    <w:uiPriority w:val="9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</w:style>
  <w:style w:type="table" w:customStyle="1" w:styleId="11">
    <w:name w:val="网格型1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er2">
    <w:name w:val="Tdoc_Header_2"/>
    <w:basedOn w:val="a"/>
    <w:qFormat/>
    <w:pPr>
      <w:tabs>
        <w:tab w:val="left" w:pos="1701"/>
        <w:tab w:val="right" w:pos="9072"/>
        <w:tab w:val="right" w:pos="10206"/>
      </w:tabs>
      <w:spacing w:line="240" w:lineRule="exact"/>
    </w:pPr>
    <w:rPr>
      <w:rFonts w:ascii="Arial" w:eastAsia="Batang" w:hAnsi="Arial" w:cs="Times New Roman"/>
      <w:b/>
      <w:sz w:val="18"/>
      <w:szCs w:val="20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SimSun" w:hAnsi="Arial" w:cs="Times New Roman"/>
      <w:lang w:val="en-GB" w:eastAsia="en-US"/>
    </w:rPr>
  </w:style>
  <w:style w:type="paragraph" w:customStyle="1" w:styleId="12">
    <w:name w:val="样式1"/>
    <w:basedOn w:val="3"/>
    <w:link w:val="13"/>
    <w:qFormat/>
    <w:pPr>
      <w:keepLines w:val="0"/>
      <w:widowControl/>
      <w:tabs>
        <w:tab w:val="left" w:pos="720"/>
      </w:tabs>
      <w:spacing w:before="240" w:after="60"/>
      <w:ind w:left="720" w:hanging="720"/>
      <w:jc w:val="left"/>
    </w:pPr>
    <w:rPr>
      <w:rFonts w:ascii="Arial" w:eastAsia="SimSun" w:hAnsi="Arial" w:cs="Times New Roman"/>
      <w:b/>
      <w:sz w:val="20"/>
      <w:szCs w:val="26"/>
      <w:lang w:eastAsia="en-US"/>
    </w:rPr>
  </w:style>
  <w:style w:type="character" w:customStyle="1" w:styleId="13">
    <w:name w:val="样式1 字符"/>
    <w:basedOn w:val="30"/>
    <w:link w:val="12"/>
    <w:qFormat/>
    <w:rPr>
      <w:rFonts w:ascii="Arial" w:eastAsia="SimSun" w:hAnsi="Arial" w:cs="Times New Roman"/>
      <w:b/>
      <w:color w:val="1F3864" w:themeColor="accent1" w:themeShade="80"/>
      <w:sz w:val="20"/>
      <w:szCs w:val="26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af4">
    <w:name w:val="列表段落 字符"/>
    <w:link w:val="af3"/>
    <w:uiPriority w:val="34"/>
    <w:qFormat/>
    <w:rPr>
      <w:rFonts w:ascii="Times" w:hAnsi="Times"/>
      <w:sz w:val="20"/>
    </w:rPr>
  </w:style>
  <w:style w:type="table" w:customStyle="1" w:styleId="31">
    <w:name w:val="网格型3"/>
    <w:basedOn w:val="a1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8">
    <w:name w:val="_Style 28"/>
    <w:basedOn w:val="a"/>
    <w:next w:val="af3"/>
    <w:uiPriority w:val="34"/>
    <w:qFormat/>
    <w:pPr>
      <w:widowControl/>
      <w:overflowPunct w:val="0"/>
      <w:autoSpaceDE w:val="0"/>
      <w:autoSpaceDN w:val="0"/>
      <w:adjustRightInd w:val="0"/>
      <w:spacing w:after="180"/>
      <w:ind w:left="720"/>
      <w:jc w:val="left"/>
      <w:textAlignment w:val="baseline"/>
    </w:pPr>
    <w:rPr>
      <w:rFonts w:ascii="Times New Roman" w:eastAsia="Yu Mincho" w:hAnsi="Times New Roman" w:cs="Times New Roman"/>
      <w:szCs w:val="20"/>
      <w:lang w:eastAsia="en-US"/>
    </w:rPr>
  </w:style>
  <w:style w:type="paragraph" w:customStyle="1" w:styleId="14">
    <w:name w:val="修订1"/>
    <w:hidden/>
    <w:uiPriority w:val="99"/>
    <w:semiHidden/>
    <w:qFormat/>
    <w:rPr>
      <w:rFonts w:ascii="Times" w:hAnsi="Times"/>
      <w:szCs w:val="22"/>
      <w:lang w:val="en-GB"/>
    </w:rPr>
  </w:style>
  <w:style w:type="character" w:customStyle="1" w:styleId="80">
    <w:name w:val="标题 8 字符"/>
    <w:basedOn w:val="a0"/>
    <w:link w:val="8"/>
    <w:uiPriority w:val="9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Char">
    <w:name w:val="列出段落 Char"/>
    <w:uiPriority w:val="34"/>
    <w:qFormat/>
    <w:rPr>
      <w:rFonts w:eastAsia="Yu Mincho"/>
      <w:lang w:val="en-GB" w:eastAsia="en-US"/>
    </w:rPr>
  </w:style>
  <w:style w:type="paragraph" w:customStyle="1" w:styleId="H6">
    <w:name w:val="H6"/>
    <w:basedOn w:val="5"/>
    <w:next w:val="a"/>
    <w:qFormat/>
    <w:pPr>
      <w:widowControl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ascii="Arial" w:eastAsia="SimSun" w:hAnsi="Arial" w:cs="Times New Roman"/>
      <w:color w:val="auto"/>
      <w:szCs w:val="20"/>
      <w:lang w:eastAsia="en-GB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Doc-text2">
    <w:name w:val="Doc-text2"/>
    <w:basedOn w:val="a"/>
    <w:link w:val="Doc-text2Char"/>
    <w:qFormat/>
    <w:pPr>
      <w:widowControl/>
      <w:tabs>
        <w:tab w:val="left" w:pos="1622"/>
      </w:tabs>
      <w:spacing w:after="0"/>
      <w:ind w:left="1622" w:hanging="363"/>
      <w:jc w:val="left"/>
    </w:pPr>
    <w:rPr>
      <w:rFonts w:ascii="Arial" w:eastAsia="MS Mincho" w:hAnsi="Arial" w:cs="Times New Roman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a6">
    <w:name w:val="正文文本 字符"/>
    <w:basedOn w:val="a0"/>
    <w:link w:val="a5"/>
    <w:qFormat/>
    <w:rPr>
      <w:rFonts w:ascii="Times" w:eastAsia="Times New Roman" w:hAnsi="Times" w:cs="Times New Roman"/>
      <w:sz w:val="20"/>
      <w:szCs w:val="24"/>
      <w:lang w:val="en-US" w:eastAsia="en-US"/>
    </w:rPr>
  </w:style>
  <w:style w:type="character" w:customStyle="1" w:styleId="a8">
    <w:name w:val="纯文本 字符"/>
    <w:basedOn w:val="a0"/>
    <w:link w:val="a7"/>
    <w:uiPriority w:val="99"/>
    <w:qFormat/>
    <w:rPr>
      <w:rFonts w:ascii="Arial" w:eastAsia="MS Gothic" w:hAnsi="Arial" w:cs="Times New Roman"/>
      <w:color w:val="000000"/>
      <w:sz w:val="20"/>
      <w:szCs w:val="20"/>
      <w:lang w:val="zh-CN" w:eastAsia="zh-CN"/>
    </w:rPr>
  </w:style>
  <w:style w:type="character" w:customStyle="1" w:styleId="a4">
    <w:name w:val="批注文字 字符"/>
    <w:basedOn w:val="a0"/>
    <w:link w:val="a3"/>
    <w:uiPriority w:val="99"/>
    <w:qFormat/>
    <w:rPr>
      <w:rFonts w:ascii="Times" w:hAnsi="Times"/>
      <w:sz w:val="20"/>
      <w:szCs w:val="20"/>
    </w:r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Times" w:hAnsi="Times"/>
      <w:b/>
      <w:bCs/>
      <w:sz w:val="20"/>
      <w:szCs w:val="20"/>
    </w:rPr>
  </w:style>
  <w:style w:type="paragraph" w:customStyle="1" w:styleId="EW">
    <w:name w:val="EW"/>
    <w:basedOn w:val="a"/>
    <w:qFormat/>
    <w:pPr>
      <w:keepLines/>
      <w:widowControl/>
      <w:overflowPunct w:val="0"/>
      <w:autoSpaceDE w:val="0"/>
      <w:autoSpaceDN w:val="0"/>
      <w:adjustRightInd w:val="0"/>
      <w:spacing w:after="0" w:line="259" w:lineRule="auto"/>
      <w:ind w:left="1702" w:hanging="1418"/>
      <w:textAlignment w:val="baseline"/>
    </w:pPr>
    <w:rPr>
      <w:rFonts w:ascii="Times New Roman" w:eastAsia="SimSun" w:hAnsi="Times New Roman" w:cs="Times New Roman"/>
      <w:szCs w:val="20"/>
      <w:lang w:val="en-US" w:eastAsia="en-US"/>
    </w:rPr>
  </w:style>
  <w:style w:type="paragraph" w:customStyle="1" w:styleId="Reference">
    <w:name w:val="Reference"/>
    <w:basedOn w:val="a"/>
    <w:link w:val="ReferenceChar"/>
    <w:qFormat/>
    <w:pPr>
      <w:widowControl/>
      <w:numPr>
        <w:numId w:val="1"/>
      </w:numPr>
      <w:spacing w:after="0"/>
      <w:jc w:val="left"/>
    </w:pPr>
    <w:rPr>
      <w:rFonts w:ascii="Times New Roman" w:eastAsia="Times New Roman" w:hAnsi="Times New Roman" w:cs="Times New Roman"/>
      <w:szCs w:val="20"/>
      <w:lang w:val="en-US" w:eastAsia="en-US"/>
    </w:rPr>
  </w:style>
  <w:style w:type="character" w:customStyle="1" w:styleId="ReferenceChar">
    <w:name w:val="Reference Char"/>
    <w:link w:val="Reference"/>
    <w:qFormat/>
    <w:rPr>
      <w:rFonts w:ascii="Times New Roman" w:eastAsia="Times New Roman" w:hAnsi="Times New Roman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DB5FB-8805-4E79-9701-771237C36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2042</Words>
  <Characters>11646</Characters>
  <Application>Microsoft Office Word</Application>
  <DocSecurity>0</DocSecurity>
  <Lines>97</Lines>
  <Paragraphs>27</Paragraphs>
  <ScaleCrop>false</ScaleCrop>
  <Company/>
  <LinksUpToDate>false</LinksUpToDate>
  <CharactersWithSpaces>13661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Zhang, Lei/张 磊</dc:creator>
  <cp:lastModifiedBy>Zhang, Lei/张 磊</cp:lastModifiedBy>
  <cp:revision>4</cp:revision>
  <dcterms:created xsi:type="dcterms:W3CDTF">2023-10-09T03:44:00Z</dcterms:created>
  <dcterms:modified xsi:type="dcterms:W3CDTF">2023-10-09T08:37:00Z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2022-08-17T00:32:16Z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f23657b8-0ca6-4f83-8f58-d6db1feebcd2</vt:lpwstr>
  </property>
  <property fmtid="{D5CDD505-2E9C-101B-9397-08002B2CF9AE}" pid="8" name="MSIP_Label_a7295cc1-d279-42ac-ab4d-3b0f4fece050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1696767785</vt:lpwstr>
  </property>
  <property fmtid="{D5CDD505-2E9C-101B-9397-08002B2CF9AE}" pid="13" name="_2015_ms_pID_725343">
    <vt:lpwstr>(3)jSsGfT1PYOHeh5CP0Oevdj3XxjBHM3wTkh+eOBKE9736VRvX6oAHQD6lEgssaCKOhB+/h9LC
afngPhZ0HqOdb+ghk3bIjmJuJsXnACKiorr4kUlk573SXNvdnbeZ9rfP9UFyJtALP2/fvjaf
1gAuM6EoWdchGJ5DuAjzupredPB9VjGEdqbwWZF1LbDncX01uN+kjGQlEy4qIhTF6tBKnWjM
3fOuwtRCn75GuZLxKK</vt:lpwstr>
  </property>
  <property fmtid="{D5CDD505-2E9C-101B-9397-08002B2CF9AE}" pid="14" name="_2015_ms_pID_7253431">
    <vt:lpwstr>825FsizEwXJE0EksVqMeibxK/LtYOC0GXsATXAiO0PTIT1U2hhCpkk
rm3zqEMffFzqi53m8GdDK2aczD6RTGVvj5CqBy9xKBrrHPaa53BSOPoaB2fwFrRDrq+zRqL8
ghFvaNul1sp3WjAGab4upvSzdPo8CJAPwp2/6jfeZK6WVKOXvMxPfzqMRGtuuXLMMNzPTjXZ
C2X443BsqtPXIGgU+NTPCQUxsM/Z5XLUrbpU</vt:lpwstr>
  </property>
  <property fmtid="{D5CDD505-2E9C-101B-9397-08002B2CF9AE}" pid="15" name="_2015_ms_pID_7253432">
    <vt:lpwstr>0w==</vt:lpwstr>
  </property>
  <property fmtid="{D5CDD505-2E9C-101B-9397-08002B2CF9AE}" pid="16" name="KSOProductBuildVer">
    <vt:lpwstr>2052-11.8.2.12085</vt:lpwstr>
  </property>
  <property fmtid="{D5CDD505-2E9C-101B-9397-08002B2CF9AE}" pid="17" name="ICV">
    <vt:lpwstr>35EE5B6A926848E88146129BB27B120A</vt:lpwstr>
  </property>
</Properties>
</file>